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i w:val="0"/>
          <w:caps w:val="0"/>
          <w:color w:val="000000"/>
          <w:spacing w:val="0"/>
          <w:sz w:val="36"/>
          <w:szCs w:val="36"/>
        </w:rPr>
      </w:pPr>
      <w:r>
        <w:rPr>
          <w:rFonts w:hint="eastAsia" w:ascii="方正小标宋简体" w:hAnsi="方正小标宋简体" w:eastAsia="方正小标宋简体" w:cs="方正小标宋简体"/>
          <w:b w:val="0"/>
          <w:i w:val="0"/>
          <w:caps w:val="0"/>
          <w:color w:val="000000"/>
          <w:spacing w:val="0"/>
          <w:sz w:val="36"/>
          <w:szCs w:val="36"/>
        </w:rPr>
        <w:t>《</w:t>
      </w:r>
      <w:r>
        <w:rPr>
          <w:rFonts w:hint="eastAsia" w:ascii="方正小标宋简体" w:hAnsi="方正小标宋简体" w:eastAsia="方正小标宋简体" w:cs="方正小标宋简体"/>
          <w:b w:val="0"/>
          <w:bCs w:val="0"/>
          <w:color w:val="000000"/>
          <w:sz w:val="36"/>
          <w:szCs w:val="36"/>
        </w:rPr>
        <w:t>关于</w:t>
      </w:r>
      <w:r>
        <w:rPr>
          <w:rFonts w:hint="eastAsia" w:ascii="方正小标宋简体" w:hAnsi="方正小标宋简体" w:eastAsia="方正小标宋简体" w:cs="方正小标宋简体"/>
          <w:b w:val="0"/>
          <w:bCs w:val="0"/>
          <w:color w:val="000000"/>
          <w:sz w:val="36"/>
          <w:szCs w:val="36"/>
          <w:lang w:eastAsia="zh-CN"/>
        </w:rPr>
        <w:t>开展</w:t>
      </w:r>
      <w:r>
        <w:rPr>
          <w:rFonts w:hint="eastAsia" w:ascii="方正小标宋简体" w:hAnsi="方正小标宋简体" w:eastAsia="方正小标宋简体" w:cs="方正小标宋简体"/>
          <w:b w:val="0"/>
          <w:bCs w:val="0"/>
          <w:color w:val="000000"/>
          <w:sz w:val="36"/>
          <w:szCs w:val="36"/>
        </w:rPr>
        <w:t>亩均效益评价工作的实施意见</w:t>
      </w:r>
      <w:r>
        <w:rPr>
          <w:rFonts w:hint="eastAsia" w:ascii="方正小标宋简体" w:hAnsi="方正小标宋简体" w:eastAsia="方正小标宋简体" w:cs="方正小标宋简体"/>
          <w:b w:val="0"/>
          <w:i w:val="0"/>
          <w:caps w:val="0"/>
          <w:color w:val="000000"/>
          <w:spacing w:val="0"/>
          <w:sz w:val="36"/>
          <w:szCs w:val="36"/>
        </w:rPr>
        <w:t xml:space="preserve">》 </w:t>
      </w:r>
    </w:p>
    <w:p>
      <w:pPr>
        <w:jc w:val="center"/>
        <w:rPr>
          <w:rFonts w:hint="eastAsia" w:ascii="楷体" w:hAnsi="楷体" w:eastAsia="楷体" w:cs="楷体"/>
          <w:sz w:val="36"/>
          <w:szCs w:val="36"/>
        </w:rPr>
      </w:pPr>
      <w:r>
        <w:rPr>
          <w:rFonts w:hint="eastAsia" w:ascii="方正小标宋简体" w:hAnsi="方正小标宋简体" w:eastAsia="方正小标宋简体" w:cs="方正小标宋简体"/>
          <w:b w:val="0"/>
          <w:i w:val="0"/>
          <w:caps w:val="0"/>
          <w:color w:val="000000"/>
          <w:spacing w:val="0"/>
          <w:sz w:val="36"/>
          <w:szCs w:val="36"/>
        </w:rPr>
        <w:t>（征求意见稿）</w:t>
      </w:r>
    </w:p>
    <w:p>
      <w:pPr>
        <w:rPr>
          <w:rFonts w:hint="eastAsia" w:ascii="仿宋_GB2312" w:hAnsi="仿宋_GB2312" w:eastAsia="仿宋_GB2312" w:cs="仿宋_GB2312"/>
          <w:sz w:val="32"/>
          <w:szCs w:val="32"/>
        </w:rPr>
      </w:pP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为贯彻落实根据省经信厅、省发改委等十部门《关于推广亩均效益评价工作意见的通知》（皖经信运行〔2021〕108号）精神，结合我市实际，制定本实施</w:t>
      </w:r>
      <w:r>
        <w:rPr>
          <w:rFonts w:hint="eastAsia" w:ascii="仿宋_GB2312" w:hAnsi="仿宋_GB2312" w:eastAsia="仿宋_GB2312" w:cs="仿宋_GB2312"/>
          <w:sz w:val="32"/>
          <w:szCs w:val="32"/>
          <w:lang w:eastAsia="zh-CN"/>
        </w:rPr>
        <w:t>意见</w:t>
      </w:r>
      <w:r>
        <w:rPr>
          <w:rFonts w:hint="eastAsia" w:ascii="仿宋_GB2312" w:hAnsi="仿宋_GB2312" w:eastAsia="仿宋_GB2312" w:cs="仿宋_GB2312"/>
          <w:sz w:val="32"/>
          <w:szCs w:val="32"/>
        </w:rPr>
        <w:t>。</w:t>
      </w:r>
      <w:bookmarkStart w:id="0" w:name="_GoBack"/>
      <w:bookmarkEnd w:id="0"/>
    </w:p>
    <w:p>
      <w:pPr>
        <w:ind w:firstLine="640" w:firstLineChars="200"/>
        <w:rPr>
          <w:rFonts w:hint="eastAsia" w:ascii="黑体" w:hAnsi="黑体" w:eastAsia="黑体" w:cs="黑体"/>
          <w:sz w:val="32"/>
          <w:szCs w:val="32"/>
        </w:rPr>
      </w:pPr>
      <w:r>
        <w:rPr>
          <w:rFonts w:hint="eastAsia" w:ascii="黑体" w:hAnsi="黑体" w:eastAsia="黑体" w:cs="黑体"/>
          <w:sz w:val="32"/>
          <w:szCs w:val="32"/>
        </w:rPr>
        <w:t>一、指导思想</w:t>
      </w:r>
    </w:p>
    <w:p>
      <w:pPr>
        <w:ind w:firstLine="640" w:firstLineChars="200"/>
        <w:rPr>
          <w:rFonts w:hint="eastAsia" w:ascii="仿宋_GB2312" w:hAnsi="仿宋_GB2312" w:eastAsia="仿宋_GB2312" w:cs="仿宋_GB2312"/>
          <w:sz w:val="32"/>
          <w:szCs w:val="32"/>
        </w:rPr>
      </w:pPr>
      <w:r>
        <w:rPr>
          <w:rFonts w:eastAsia="仿宋_GB2312"/>
          <w:sz w:val="32"/>
          <w:szCs w:val="32"/>
        </w:rPr>
        <w:t>坚持以习近平新时代中国特色社会主义思想</w:t>
      </w:r>
      <w:r>
        <w:rPr>
          <w:rFonts w:hint="eastAsia" w:eastAsia="仿宋_GB2312"/>
          <w:sz w:val="32"/>
          <w:szCs w:val="32"/>
        </w:rPr>
        <w:t>和党的十九大和十九届二中、三中、四中</w:t>
      </w:r>
      <w:r>
        <w:rPr>
          <w:rFonts w:hint="eastAsia" w:eastAsia="仿宋_GB2312"/>
          <w:sz w:val="32"/>
          <w:szCs w:val="32"/>
          <w:lang w:eastAsia="zh-CN"/>
        </w:rPr>
        <w:t>、五中、六中</w:t>
      </w:r>
      <w:r>
        <w:rPr>
          <w:rFonts w:hint="eastAsia" w:eastAsia="仿宋_GB2312"/>
          <w:sz w:val="32"/>
          <w:szCs w:val="32"/>
        </w:rPr>
        <w:t>全会精神</w:t>
      </w:r>
      <w:r>
        <w:rPr>
          <w:rFonts w:eastAsia="仿宋_GB2312"/>
          <w:sz w:val="32"/>
          <w:szCs w:val="32"/>
        </w:rPr>
        <w:t>为指导，深入贯彻</w:t>
      </w:r>
      <w:r>
        <w:rPr>
          <w:rFonts w:hint="eastAsia" w:eastAsia="仿宋_GB2312"/>
          <w:sz w:val="32"/>
          <w:szCs w:val="32"/>
        </w:rPr>
        <w:t>落实</w:t>
      </w:r>
      <w:r>
        <w:rPr>
          <w:rFonts w:eastAsia="仿宋_GB2312"/>
          <w:sz w:val="32"/>
          <w:szCs w:val="32"/>
        </w:rPr>
        <w:t>习近平总书记考察安徽重要讲话指示精神，</w:t>
      </w:r>
      <w:r>
        <w:rPr>
          <w:rFonts w:hint="eastAsia" w:ascii="仿宋_GB2312" w:hAnsi="仿宋_GB2312" w:eastAsia="仿宋_GB2312" w:cs="仿宋_GB2312"/>
          <w:sz w:val="32"/>
          <w:szCs w:val="32"/>
        </w:rPr>
        <w:t>认真落实省第十一次党代会要求，以新发展理念为引领，以供给侧结构性改革为主线，</w:t>
      </w:r>
      <w:r>
        <w:rPr>
          <w:rFonts w:eastAsia="仿宋_GB2312"/>
          <w:sz w:val="32"/>
          <w:szCs w:val="32"/>
        </w:rPr>
        <w:t>坚持质量第一、效益优先，把亩均</w:t>
      </w:r>
      <w:r>
        <w:rPr>
          <w:rFonts w:hint="eastAsia" w:eastAsia="仿宋_GB2312"/>
          <w:sz w:val="32"/>
          <w:szCs w:val="32"/>
          <w:lang w:eastAsia="zh-CN"/>
        </w:rPr>
        <w:t>评价工作</w:t>
      </w:r>
      <w:r>
        <w:rPr>
          <w:rFonts w:eastAsia="仿宋_GB2312"/>
          <w:sz w:val="32"/>
          <w:szCs w:val="32"/>
        </w:rPr>
        <w:t>作为推动质量变革、动力变革和效率变革的有力抓手，</w:t>
      </w:r>
      <w:r>
        <w:rPr>
          <w:rFonts w:hint="eastAsia" w:ascii="仿宋_GB2312" w:hAnsi="仿宋_GB2312" w:eastAsia="仿宋_GB2312" w:cs="仿宋_GB2312"/>
          <w:sz w:val="32"/>
          <w:szCs w:val="32"/>
        </w:rPr>
        <w:t>对标长三角，优化资源要素配置，激发发展活力，推动全市经济高质量发展。</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二、主要原则</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（一）坚持绩效优先、高质量发展的原则。建立以企业亩均产出绩效为核心的综合评价制度，对企业发展绩效作出综合评价，推动工业高质量发展。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（二）坚持客观公正、统一评价的原则。确定统一数据处理标准、统一评价指标体系、统一评价结果分类，注重评价采集数据的原始性，对企业发展绩效作出客观评价。</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（三）坚持市级主导、县区实施的原则。建</w:t>
      </w:r>
      <w:r>
        <w:rPr>
          <w:rFonts w:hint="eastAsia" w:ascii="仿宋_GB2312" w:hAnsi="仿宋_GB2312" w:eastAsia="仿宋_GB2312" w:cs="仿宋_GB2312"/>
          <w:sz w:val="32"/>
          <w:szCs w:val="32"/>
          <w:lang w:eastAsia="zh-CN"/>
        </w:rPr>
        <w:t>立</w:t>
      </w:r>
      <w:r>
        <w:rPr>
          <w:rFonts w:hint="eastAsia" w:ascii="仿宋_GB2312" w:hAnsi="仿宋_GB2312" w:eastAsia="仿宋_GB2312" w:cs="仿宋_GB2312"/>
          <w:sz w:val="32"/>
          <w:szCs w:val="32"/>
        </w:rPr>
        <w:t>全市统一的工业高质量发展企业亩均效益评价体系，并在实践过程中不断完善。</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坚持正向引导、反向倒逼的原则。强化评价结果运用，分类指导，有步骤、分阶段地实施差别化政策。坚持正向引导为主，推动要素向高效益、高产出、高成长、高质量企业集聚；落实反向倒逼措施，倒逼落后和严重过剩产能退出、低效企业转型。</w:t>
      </w:r>
    </w:p>
    <w:p>
      <w:pPr>
        <w:ind w:firstLine="640" w:firstLineChars="200"/>
        <w:rPr>
          <w:rFonts w:hint="eastAsia" w:ascii="黑体" w:hAnsi="黑体" w:eastAsia="黑体" w:cs="黑体"/>
          <w:sz w:val="32"/>
          <w:szCs w:val="32"/>
        </w:rPr>
      </w:pPr>
      <w:r>
        <w:rPr>
          <w:rFonts w:hint="eastAsia" w:ascii="黑体" w:hAnsi="黑体" w:eastAsia="黑体" w:cs="黑体"/>
          <w:sz w:val="32"/>
          <w:szCs w:val="32"/>
        </w:rPr>
        <w:t>三、</w:t>
      </w:r>
      <w:r>
        <w:rPr>
          <w:rFonts w:hint="eastAsia" w:ascii="黑体" w:hAnsi="黑体" w:eastAsia="黑体" w:cs="黑体"/>
          <w:sz w:val="32"/>
          <w:szCs w:val="32"/>
          <w:lang w:eastAsia="zh-CN"/>
        </w:rPr>
        <w:t>建立全市</w:t>
      </w:r>
      <w:r>
        <w:rPr>
          <w:rFonts w:hint="eastAsia" w:ascii="黑体" w:hAnsi="黑体" w:eastAsia="黑体" w:cs="黑体"/>
          <w:sz w:val="32"/>
          <w:szCs w:val="32"/>
        </w:rPr>
        <w:t>评价体系</w:t>
      </w:r>
    </w:p>
    <w:p>
      <w:pPr>
        <w:ind w:firstLine="640" w:firstLineChars="200"/>
        <w:rPr>
          <w:rFonts w:hint="eastAsia" w:ascii="楷体" w:hAnsi="楷体" w:eastAsia="楷体" w:cs="楷体"/>
          <w:sz w:val="32"/>
          <w:szCs w:val="32"/>
        </w:rPr>
      </w:pPr>
      <w:r>
        <w:rPr>
          <w:rFonts w:hint="eastAsia" w:ascii="楷体" w:hAnsi="楷体" w:eastAsia="楷体" w:cs="楷体"/>
          <w:sz w:val="32"/>
          <w:szCs w:val="32"/>
        </w:rPr>
        <w:t>（一）评价对象</w:t>
      </w:r>
    </w:p>
    <w:p>
      <w:pPr>
        <w:ind w:firstLine="640" w:firstLineChars="200"/>
        <w:rPr>
          <w:rFonts w:hint="eastAsia" w:ascii="仿宋_GB2312" w:hAnsi="仿宋_GB2312" w:eastAsia="仿宋_GB2312" w:cs="仿宋_GB2312"/>
          <w:color w:val="FF0000"/>
          <w:sz w:val="32"/>
          <w:szCs w:val="32"/>
        </w:rPr>
      </w:pPr>
      <w:r>
        <w:rPr>
          <w:rFonts w:hint="eastAsia" w:ascii="仿宋_GB2312" w:hAnsi="仿宋_GB2312" w:eastAsia="仿宋_GB2312" w:cs="仿宋_GB2312"/>
          <w:color w:val="auto"/>
          <w:sz w:val="32"/>
          <w:szCs w:val="32"/>
        </w:rPr>
        <w:t>对全市规模以上工业企业和占地5亩以上的规模以下工业企业实施评价。</w:t>
      </w:r>
    </w:p>
    <w:p>
      <w:pPr>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规模以上工业企业评价由市级统一组织，每年开展一次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sz w:val="32"/>
          <w:szCs w:val="32"/>
        </w:rPr>
        <w:t>2022年</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eastAsia="zh-CN"/>
        </w:rPr>
        <w:t>开始</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在</w:t>
      </w:r>
      <w:r>
        <w:rPr>
          <w:rFonts w:hint="eastAsia" w:ascii="仿宋_GB2312" w:hAnsi="仿宋_GB2312" w:eastAsia="仿宋_GB2312" w:cs="仿宋_GB2312"/>
          <w:color w:val="auto"/>
          <w:sz w:val="32"/>
          <w:szCs w:val="32"/>
        </w:rPr>
        <w:t>全市规模以上</w:t>
      </w:r>
      <w:r>
        <w:rPr>
          <w:rFonts w:hint="eastAsia" w:ascii="仿宋_GB2312" w:hAnsi="仿宋_GB2312" w:eastAsia="仿宋_GB2312" w:cs="仿宋_GB2312"/>
          <w:color w:val="auto"/>
          <w:sz w:val="32"/>
          <w:szCs w:val="32"/>
          <w:lang w:eastAsia="zh-CN"/>
        </w:rPr>
        <w:t>企业全面铺开</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鼓励各县区探索评价结果的运用，重点针对评价效果差的企业切实开展帮扶提升工作；</w:t>
      </w:r>
      <w:r>
        <w:rPr>
          <w:rFonts w:hint="eastAsia" w:ascii="仿宋_GB2312" w:hAnsi="仿宋_GB2312" w:eastAsia="仿宋_GB2312" w:cs="仿宋_GB2312"/>
          <w:color w:val="auto"/>
          <w:sz w:val="32"/>
          <w:szCs w:val="32"/>
        </w:rPr>
        <w:t>2023年</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eastAsia="zh-CN"/>
        </w:rPr>
        <w:t>开始</w:t>
      </w:r>
      <w:r>
        <w:rPr>
          <w:rFonts w:hint="eastAsia" w:ascii="仿宋_GB2312" w:hAnsi="仿宋_GB2312" w:eastAsia="仿宋_GB2312" w:cs="仿宋_GB2312"/>
          <w:color w:val="auto"/>
          <w:sz w:val="32"/>
          <w:szCs w:val="32"/>
        </w:rPr>
        <w:t>，配套实施差别化政策措施。</w:t>
      </w: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占地5亩以上的规模以下工业企业评价由县区自行组织实施，各县区根据自身发展实际于202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年底前制定亩均效益评价方案，并开展评价，鼓励有条件的县区先行先试、扩大评价范围</w:t>
      </w:r>
      <w:r>
        <w:rPr>
          <w:rFonts w:hint="eastAsia" w:ascii="仿宋_GB2312" w:hAnsi="仿宋_GB2312" w:eastAsia="仿宋_GB2312" w:cs="仿宋_GB2312"/>
          <w:sz w:val="32"/>
          <w:szCs w:val="32"/>
          <w:lang w:eastAsia="zh-CN"/>
        </w:rPr>
        <w:t>。</w:t>
      </w:r>
    </w:p>
    <w:p>
      <w:pPr>
        <w:numPr>
          <w:ilvl w:val="0"/>
          <w:numId w:val="1"/>
        </w:numPr>
        <w:ind w:firstLine="640" w:firstLineChars="200"/>
        <w:rPr>
          <w:rFonts w:hint="eastAsia" w:ascii="楷体" w:hAnsi="楷体" w:eastAsia="楷体" w:cs="楷体"/>
          <w:sz w:val="32"/>
          <w:szCs w:val="32"/>
        </w:rPr>
      </w:pPr>
      <w:r>
        <w:rPr>
          <w:rFonts w:hint="eastAsia" w:ascii="楷体" w:hAnsi="楷体" w:eastAsia="楷体" w:cs="楷体"/>
          <w:sz w:val="32"/>
          <w:szCs w:val="32"/>
        </w:rPr>
        <w:t>评价指标及计算方式</w:t>
      </w:r>
    </w:p>
    <w:p>
      <w:pPr>
        <w:pStyle w:val="2"/>
        <w:numPr>
          <w:ilvl w:val="0"/>
          <w:numId w:val="0"/>
        </w:num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评价指标由单项评价指标和企业综合素质附加指标组成。</w:t>
      </w:r>
    </w:p>
    <w:p>
      <w:p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1.单项评价指标。单项评价指标总基准分为100分。对</w:t>
      </w:r>
      <w:r>
        <w:rPr>
          <w:rFonts w:hint="eastAsia" w:ascii="仿宋_GB2312" w:hAnsi="仿宋_GB2312" w:eastAsia="仿宋_GB2312" w:cs="仿宋_GB2312"/>
          <w:sz w:val="32"/>
          <w:szCs w:val="32"/>
        </w:rPr>
        <w:t>规模以上工业企业设定亩均税收、亩均营业收入、单位能耗营业收入、全员劳动生产率、亩均技术改造投资5项指标，权重分别为总分的40%、20%、15%、15%、10%。</w:t>
      </w:r>
      <w:r>
        <w:rPr>
          <w:rFonts w:hint="eastAsia" w:ascii="仿宋_GB2312" w:hAnsi="仿宋_GB2312" w:eastAsia="仿宋_GB2312" w:cs="仿宋_GB2312"/>
          <w:kern w:val="2"/>
          <w:sz w:val="32"/>
          <w:szCs w:val="32"/>
          <w:lang w:val="en-US" w:eastAsia="zh-CN" w:bidi="ar-SA"/>
        </w:rPr>
        <w:t>规模以下工业企业评价以亩均营业收入、亩均税收为主要指标，各县区可根据实际情况增设其他评价指标。</w:t>
      </w:r>
    </w:p>
    <w:p>
      <w:pPr>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．企业综合素质附加指标：</w:t>
      </w:r>
      <w:r>
        <w:rPr>
          <w:rFonts w:hint="eastAsia" w:ascii="仿宋_GB2312" w:hAnsi="仿宋_GB2312" w:eastAsia="仿宋_GB2312" w:cs="仿宋_GB2312"/>
          <w:sz w:val="32"/>
          <w:szCs w:val="32"/>
        </w:rPr>
        <w:t>为引导和鼓励企业创新发展、绿色发展、守法经营，指标体系中增设综合素质加分项目，最高加分不超过</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0分。</w:t>
      </w:r>
    </w:p>
    <w:p>
      <w:pPr>
        <w:pStyle w:val="2"/>
        <w:rPr>
          <w:rFonts w:hint="default" w:eastAsiaTheme="minorEastAsia"/>
          <w:lang w:val="en-US" w:eastAsia="zh-CN"/>
        </w:rPr>
      </w:pPr>
      <w:r>
        <w:rPr>
          <w:rFonts w:hint="eastAsia"/>
          <w:lang w:val="en-US" w:eastAsia="zh-CN"/>
        </w:rPr>
        <w:t xml:space="preserve">      </w:t>
      </w:r>
    </w:p>
    <w:tbl>
      <w:tblPr>
        <w:tblStyle w:val="8"/>
        <w:tblW w:w="8667"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700"/>
        <w:gridCol w:w="4500"/>
        <w:gridCol w:w="1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trPr>
        <w:tc>
          <w:tcPr>
            <w:tcW w:w="767" w:type="dxa"/>
            <w:vAlign w:val="center"/>
          </w:tcPr>
          <w:p>
            <w:pPr>
              <w:jc w:val="center"/>
              <w:rPr>
                <w:rFonts w:hint="eastAsia" w:ascii="黑体" w:hAnsi="黑体" w:eastAsia="黑体" w:cs="黑体"/>
                <w:sz w:val="24"/>
                <w:szCs w:val="24"/>
                <w:vertAlign w:val="baseline"/>
              </w:rPr>
            </w:pPr>
            <w:r>
              <w:rPr>
                <w:rFonts w:hint="eastAsia" w:ascii="黑体" w:hAnsi="黑体" w:eastAsia="黑体" w:cs="黑体"/>
                <w:sz w:val="24"/>
                <w:szCs w:val="24"/>
                <w:vertAlign w:val="baseline"/>
                <w:lang w:val="en-US" w:eastAsia="zh-CN"/>
              </w:rPr>
              <w:t>序号</w:t>
            </w:r>
          </w:p>
        </w:tc>
        <w:tc>
          <w:tcPr>
            <w:tcW w:w="1700" w:type="dxa"/>
            <w:vAlign w:val="center"/>
          </w:tcPr>
          <w:p>
            <w:pPr>
              <w:jc w:val="center"/>
              <w:rPr>
                <w:rFonts w:hint="eastAsia" w:ascii="黑体" w:hAnsi="黑体" w:eastAsia="黑体" w:cs="黑体"/>
                <w:sz w:val="24"/>
                <w:szCs w:val="24"/>
                <w:vertAlign w:val="baseline"/>
                <w:lang w:val="en-US" w:eastAsia="zh-CN"/>
              </w:rPr>
            </w:pPr>
            <w:r>
              <w:rPr>
                <w:rFonts w:hint="eastAsia" w:ascii="黑体" w:hAnsi="黑体" w:eastAsia="黑体" w:cs="黑体"/>
                <w:sz w:val="24"/>
                <w:szCs w:val="24"/>
                <w:vertAlign w:val="baseline"/>
                <w:lang w:val="en-US" w:eastAsia="zh-CN"/>
              </w:rPr>
              <w:t>加分项</w:t>
            </w:r>
          </w:p>
        </w:tc>
        <w:tc>
          <w:tcPr>
            <w:tcW w:w="4500" w:type="dxa"/>
            <w:vAlign w:val="center"/>
          </w:tcPr>
          <w:p>
            <w:pPr>
              <w:jc w:val="center"/>
              <w:rPr>
                <w:rFonts w:hint="eastAsia" w:ascii="黑体" w:hAnsi="黑体" w:eastAsia="黑体" w:cs="黑体"/>
                <w:sz w:val="24"/>
                <w:szCs w:val="24"/>
                <w:vertAlign w:val="baseline"/>
              </w:rPr>
            </w:pPr>
            <w:r>
              <w:rPr>
                <w:rFonts w:hint="eastAsia" w:ascii="黑体" w:hAnsi="黑体" w:eastAsia="黑体" w:cs="黑体"/>
                <w:sz w:val="24"/>
                <w:szCs w:val="24"/>
                <w:vertAlign w:val="baseline"/>
                <w:lang w:val="en-US" w:eastAsia="zh-CN"/>
              </w:rPr>
              <w:t>加分细则</w:t>
            </w:r>
          </w:p>
        </w:tc>
        <w:tc>
          <w:tcPr>
            <w:tcW w:w="1700" w:type="dxa"/>
            <w:vAlign w:val="center"/>
          </w:tcPr>
          <w:p>
            <w:pPr>
              <w:jc w:val="center"/>
              <w:rPr>
                <w:rFonts w:hint="eastAsia" w:ascii="黑体" w:hAnsi="黑体" w:eastAsia="黑体" w:cs="黑体"/>
                <w:sz w:val="24"/>
                <w:szCs w:val="24"/>
                <w:vertAlign w:val="baseline"/>
              </w:rPr>
            </w:pPr>
            <w:r>
              <w:rPr>
                <w:rFonts w:hint="eastAsia" w:ascii="黑体" w:hAnsi="黑体" w:eastAsia="黑体" w:cs="黑体"/>
                <w:sz w:val="24"/>
                <w:szCs w:val="24"/>
                <w:vertAlign w:val="baseline"/>
                <w:lang w:val="en-US" w:eastAsia="zh-CN"/>
              </w:rPr>
              <w:t>数据来源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767" w:type="dxa"/>
            <w:vAlign w:val="center"/>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1</w:t>
            </w:r>
          </w:p>
        </w:tc>
        <w:tc>
          <w:tcPr>
            <w:tcW w:w="1700"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智能工厂</w:t>
            </w:r>
          </w:p>
        </w:tc>
        <w:tc>
          <w:tcPr>
            <w:tcW w:w="4500" w:type="dxa"/>
            <w:vAlign w:val="center"/>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国家级加5分、省级加3分、市级加1分</w:t>
            </w:r>
          </w:p>
        </w:tc>
        <w:tc>
          <w:tcPr>
            <w:tcW w:w="1700" w:type="dxa"/>
            <w:vMerge w:val="restart"/>
            <w:vAlign w:val="center"/>
          </w:tcPr>
          <w:p>
            <w:pPr>
              <w:jc w:val="center"/>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市经济和信息化局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700"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绿色工厂</w:t>
            </w:r>
          </w:p>
        </w:tc>
        <w:tc>
          <w:tcPr>
            <w:tcW w:w="4500" w:type="dxa"/>
            <w:vAlign w:val="center"/>
          </w:tcPr>
          <w:p>
            <w:pPr>
              <w:jc w:val="both"/>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国家级加5分、省级加3分、市级加1分</w:t>
            </w:r>
          </w:p>
        </w:tc>
        <w:tc>
          <w:tcPr>
            <w:tcW w:w="1700" w:type="dxa"/>
            <w:vMerge w:val="continue"/>
            <w:vAlign w:val="center"/>
          </w:tcPr>
          <w:p>
            <w:pPr>
              <w:jc w:val="center"/>
              <w:rPr>
                <w:rFonts w:hint="eastAsia" w:ascii="仿宋" w:hAnsi="仿宋" w:eastAsia="仿宋" w:cs="仿宋"/>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trPr>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专精特新企业</w:t>
            </w:r>
          </w:p>
        </w:tc>
        <w:tc>
          <w:tcPr>
            <w:tcW w:w="4500" w:type="dxa"/>
            <w:vAlign w:val="center"/>
          </w:tcPr>
          <w:p>
            <w:pPr>
              <w:jc w:val="both"/>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国家级加5分、省级加3分、市级加1分</w:t>
            </w:r>
          </w:p>
        </w:tc>
        <w:tc>
          <w:tcPr>
            <w:tcW w:w="1700" w:type="dxa"/>
            <w:vMerge w:val="continue"/>
            <w:vAlign w:val="center"/>
          </w:tcPr>
          <w:p>
            <w:pPr>
              <w:jc w:val="center"/>
              <w:rPr>
                <w:rFonts w:hint="eastAsia" w:ascii="仿宋" w:hAnsi="仿宋" w:eastAsia="仿宋" w:cs="仿宋"/>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规上企业</w:t>
            </w:r>
          </w:p>
        </w:tc>
        <w:tc>
          <w:tcPr>
            <w:tcW w:w="4500" w:type="dxa"/>
            <w:vAlign w:val="center"/>
          </w:tcPr>
          <w:p>
            <w:pPr>
              <w:jc w:val="both"/>
              <w:rPr>
                <w:rFonts w:hint="default" w:ascii="仿宋" w:hAnsi="仿宋" w:eastAsia="仿宋" w:cs="仿宋"/>
                <w:sz w:val="24"/>
                <w:szCs w:val="24"/>
                <w:lang w:val="en-US" w:eastAsia="zh-CN"/>
              </w:rPr>
            </w:pPr>
            <w:r>
              <w:rPr>
                <w:rFonts w:hint="eastAsia" w:ascii="仿宋" w:hAnsi="仿宋" w:eastAsia="仿宋" w:cs="仿宋"/>
                <w:sz w:val="24"/>
                <w:szCs w:val="24"/>
              </w:rPr>
              <w:t>列入</w:t>
            </w:r>
            <w:r>
              <w:rPr>
                <w:rFonts w:hint="eastAsia" w:ascii="仿宋" w:hAnsi="仿宋" w:eastAsia="仿宋" w:cs="仿宋"/>
                <w:sz w:val="24"/>
                <w:szCs w:val="24"/>
                <w:lang w:val="en-US" w:eastAsia="zh-CN"/>
              </w:rPr>
              <w:t>规</w:t>
            </w:r>
            <w:r>
              <w:rPr>
                <w:rFonts w:hint="eastAsia" w:ascii="仿宋" w:hAnsi="仿宋" w:eastAsia="仿宋" w:cs="仿宋"/>
                <w:sz w:val="24"/>
                <w:szCs w:val="24"/>
              </w:rPr>
              <w:t>模以上</w:t>
            </w:r>
            <w:r>
              <w:rPr>
                <w:rFonts w:hint="eastAsia" w:ascii="仿宋" w:hAnsi="仿宋" w:eastAsia="仿宋" w:cs="仿宋"/>
                <w:sz w:val="24"/>
                <w:szCs w:val="24"/>
                <w:lang w:val="en-US" w:eastAsia="zh-CN"/>
              </w:rPr>
              <w:t>工业企业统计范围的加5分</w:t>
            </w:r>
          </w:p>
          <w:p>
            <w:p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列入规模以上服务业统计范围</w:t>
            </w:r>
            <w:r>
              <w:rPr>
                <w:rFonts w:hint="eastAsia" w:ascii="仿宋" w:hAnsi="仿宋" w:eastAsia="仿宋" w:cs="仿宋"/>
                <w:sz w:val="24"/>
                <w:szCs w:val="24"/>
              </w:rPr>
              <w:t>的软件和互</w:t>
            </w:r>
            <w:r>
              <w:rPr>
                <w:rFonts w:hint="eastAsia" w:ascii="仿宋" w:hAnsi="仿宋" w:eastAsia="仿宋" w:cs="仿宋"/>
                <w:sz w:val="24"/>
                <w:szCs w:val="24"/>
                <w:lang w:val="en-US" w:eastAsia="zh-CN"/>
              </w:rPr>
              <w:t>联</w:t>
            </w:r>
            <w:r>
              <w:rPr>
                <w:rFonts w:hint="eastAsia" w:ascii="仿宋" w:hAnsi="仿宋" w:eastAsia="仿宋" w:cs="仿宋"/>
                <w:sz w:val="24"/>
                <w:szCs w:val="24"/>
              </w:rPr>
              <w:t>网企业</w:t>
            </w:r>
            <w:r>
              <w:rPr>
                <w:rFonts w:hint="eastAsia" w:ascii="仿宋" w:hAnsi="仿宋" w:eastAsia="仿宋" w:cs="仿宋"/>
                <w:sz w:val="24"/>
                <w:szCs w:val="24"/>
                <w:lang w:val="en-US" w:eastAsia="zh-CN"/>
              </w:rPr>
              <w:t>加5分</w:t>
            </w:r>
          </w:p>
        </w:tc>
        <w:tc>
          <w:tcPr>
            <w:tcW w:w="1700" w:type="dxa"/>
            <w:vMerge w:val="continue"/>
            <w:vAlign w:val="center"/>
          </w:tcPr>
          <w:p>
            <w:pPr>
              <w:jc w:val="center"/>
              <w:rPr>
                <w:rFonts w:hint="eastAsia" w:ascii="仿宋" w:hAnsi="仿宋" w:eastAsia="仿宋" w:cs="仿宋"/>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trPr>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战新目录</w:t>
            </w:r>
          </w:p>
        </w:tc>
        <w:tc>
          <w:tcPr>
            <w:tcW w:w="4500" w:type="dxa"/>
            <w:vAlign w:val="center"/>
          </w:tcPr>
          <w:p>
            <w:p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列入战新产业目录的企业加3分</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市发展改革委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高新目录</w:t>
            </w:r>
          </w:p>
        </w:tc>
        <w:tc>
          <w:tcPr>
            <w:tcW w:w="4500" w:type="dxa"/>
            <w:vAlign w:val="center"/>
          </w:tcPr>
          <w:p>
            <w:pPr>
              <w:jc w:val="both"/>
              <w:rPr>
                <w:rFonts w:hint="default" w:ascii="仿宋" w:hAnsi="仿宋" w:eastAsia="仿宋" w:cs="仿宋"/>
                <w:sz w:val="24"/>
                <w:szCs w:val="24"/>
                <w:vertAlign w:val="baseline"/>
                <w:lang w:val="en-US" w:eastAsia="zh-CN"/>
              </w:rPr>
            </w:pPr>
            <w:r>
              <w:rPr>
                <w:rFonts w:hint="eastAsia" w:ascii="仿宋" w:hAnsi="仿宋" w:eastAsia="仿宋" w:cs="仿宋"/>
                <w:sz w:val="24"/>
                <w:szCs w:val="24"/>
              </w:rPr>
              <w:t>列入《</w:t>
            </w:r>
            <w:r>
              <w:rPr>
                <w:rFonts w:hint="eastAsia" w:ascii="仿宋" w:hAnsi="仿宋" w:eastAsia="仿宋" w:cs="仿宋"/>
                <w:sz w:val="24"/>
                <w:szCs w:val="24"/>
                <w:lang w:val="en-US" w:eastAsia="zh-CN"/>
              </w:rPr>
              <w:t>安徽省</w:t>
            </w:r>
            <w:r>
              <w:rPr>
                <w:rFonts w:hint="eastAsia" w:ascii="仿宋" w:hAnsi="仿宋" w:eastAsia="仿宋" w:cs="仿宋"/>
                <w:sz w:val="24"/>
                <w:szCs w:val="24"/>
              </w:rPr>
              <w:t>高新技术产业统计分类目录》</w:t>
            </w:r>
            <w:r>
              <w:rPr>
                <w:rFonts w:hint="eastAsia" w:ascii="仿宋" w:hAnsi="仿宋" w:eastAsia="仿宋" w:cs="仿宋"/>
                <w:sz w:val="24"/>
                <w:szCs w:val="24"/>
                <w:lang w:val="en-US" w:eastAsia="zh-CN"/>
              </w:rPr>
              <w:t>的</w:t>
            </w:r>
            <w:r>
              <w:rPr>
                <w:rFonts w:hint="eastAsia" w:ascii="仿宋" w:hAnsi="仿宋" w:eastAsia="仿宋" w:cs="仿宋"/>
                <w:sz w:val="24"/>
                <w:szCs w:val="24"/>
              </w:rPr>
              <w:t>规上工业企业</w:t>
            </w:r>
            <w:r>
              <w:rPr>
                <w:rFonts w:hint="eastAsia" w:ascii="仿宋" w:hAnsi="仿宋" w:eastAsia="仿宋" w:cs="仿宋"/>
                <w:sz w:val="24"/>
                <w:szCs w:val="24"/>
                <w:lang w:val="en-US" w:eastAsia="zh-CN"/>
              </w:rPr>
              <w:t>加3分</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市科技局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研发机构</w:t>
            </w:r>
          </w:p>
        </w:tc>
        <w:tc>
          <w:tcPr>
            <w:tcW w:w="4500" w:type="dxa"/>
            <w:vAlign w:val="center"/>
          </w:tcPr>
          <w:p>
            <w:pPr>
              <w:jc w:val="both"/>
              <w:rPr>
                <w:rFonts w:hint="eastAsia" w:ascii="仿宋" w:hAnsi="仿宋" w:eastAsia="仿宋" w:cs="仿宋"/>
                <w:sz w:val="24"/>
                <w:szCs w:val="24"/>
              </w:rPr>
            </w:pPr>
            <w:r>
              <w:rPr>
                <w:rFonts w:hint="eastAsia" w:ascii="仿宋" w:hAnsi="仿宋" w:eastAsia="仿宋" w:cs="仿宋"/>
                <w:sz w:val="24"/>
                <w:szCs w:val="24"/>
                <w:vertAlign w:val="baseline"/>
                <w:lang w:val="en-US" w:eastAsia="zh-CN"/>
              </w:rPr>
              <w:t>国家级加5分、省级加3分、市级加1分</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市发展改革委       市科技局    市经济和信息化局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w:t>
            </w:r>
          </w:p>
        </w:tc>
        <w:tc>
          <w:tcPr>
            <w:tcW w:w="1700" w:type="dxa"/>
            <w:vAlign w:val="center"/>
          </w:tcPr>
          <w:p>
            <w:pPr>
              <w:ind w:left="280" w:hanging="240" w:hangingChars="100"/>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院士工作站    博士后工作站</w:t>
            </w:r>
          </w:p>
        </w:tc>
        <w:tc>
          <w:tcPr>
            <w:tcW w:w="4500" w:type="dxa"/>
            <w:vAlign w:val="center"/>
          </w:tcPr>
          <w:p>
            <w:pPr>
              <w:jc w:val="both"/>
              <w:rPr>
                <w:rFonts w:hint="eastAsia" w:ascii="仿宋" w:hAnsi="仿宋" w:eastAsia="仿宋" w:cs="仿宋"/>
                <w:sz w:val="24"/>
                <w:szCs w:val="24"/>
              </w:rPr>
            </w:pPr>
            <w:r>
              <w:rPr>
                <w:rFonts w:hint="eastAsia" w:ascii="仿宋" w:hAnsi="仿宋" w:eastAsia="仿宋" w:cs="仿宋"/>
                <w:sz w:val="24"/>
                <w:szCs w:val="24"/>
                <w:vertAlign w:val="baseline"/>
                <w:lang w:val="en-US" w:eastAsia="zh-CN"/>
              </w:rPr>
              <w:t>院士工作站加3分、博士后工作站加3分</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市科技局    市人力资源社会保障局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trPr>
        <w:tc>
          <w:tcPr>
            <w:tcW w:w="767"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w:t>
            </w:r>
          </w:p>
        </w:tc>
        <w:tc>
          <w:tcPr>
            <w:tcW w:w="1700" w:type="dxa"/>
            <w:vAlign w:val="center"/>
          </w:tcPr>
          <w:p>
            <w:pPr>
              <w:ind w:left="280" w:hanging="240" w:hangingChars="100"/>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高新技术企业</w:t>
            </w:r>
          </w:p>
        </w:tc>
        <w:tc>
          <w:tcPr>
            <w:tcW w:w="4500" w:type="dxa"/>
            <w:vAlign w:val="center"/>
          </w:tcPr>
          <w:p>
            <w:pPr>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高新技术企业加3分</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市科技局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7"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w:t>
            </w:r>
          </w:p>
        </w:tc>
        <w:tc>
          <w:tcPr>
            <w:tcW w:w="1700" w:type="dxa"/>
            <w:vAlign w:val="center"/>
          </w:tcPr>
          <w:p>
            <w:pPr>
              <w:ind w:left="280" w:hanging="240" w:hangingChars="100"/>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品牌</w:t>
            </w:r>
          </w:p>
        </w:tc>
        <w:tc>
          <w:tcPr>
            <w:tcW w:w="4500" w:type="dxa"/>
            <w:vAlign w:val="center"/>
          </w:tcPr>
          <w:p>
            <w:pPr>
              <w:jc w:val="both"/>
              <w:rPr>
                <w:rFonts w:hint="eastAsia" w:ascii="仿宋" w:hAnsi="仿宋" w:eastAsia="仿宋" w:cs="仿宋"/>
                <w:sz w:val="24"/>
                <w:szCs w:val="24"/>
              </w:rPr>
            </w:pPr>
            <w:r>
              <w:rPr>
                <w:rFonts w:hint="eastAsia" w:ascii="仿宋" w:hAnsi="仿宋" w:eastAsia="仿宋" w:cs="仿宋"/>
                <w:sz w:val="24"/>
                <w:szCs w:val="24"/>
              </w:rPr>
              <w:t>国家级(驰名商标、国家地理标志保护产品等)</w:t>
            </w:r>
            <w:r>
              <w:rPr>
                <w:rFonts w:hint="eastAsia" w:ascii="仿宋" w:hAnsi="仿宋" w:eastAsia="仿宋" w:cs="仿宋"/>
                <w:sz w:val="24"/>
                <w:szCs w:val="24"/>
                <w:lang w:val="en-US" w:eastAsia="zh-CN"/>
              </w:rPr>
              <w:t>加5分、</w:t>
            </w:r>
            <w:r>
              <w:rPr>
                <w:rFonts w:hint="eastAsia" w:ascii="仿宋" w:hAnsi="仿宋" w:eastAsia="仿宋" w:cs="仿宋"/>
                <w:sz w:val="24"/>
                <w:szCs w:val="24"/>
              </w:rPr>
              <w:t>省级(商标品牌示范企业</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工业精品等</w:t>
            </w:r>
            <w:r>
              <w:rPr>
                <w:rFonts w:hint="eastAsia" w:ascii="仿宋" w:hAnsi="仿宋" w:eastAsia="仿宋" w:cs="仿宋"/>
                <w:sz w:val="24"/>
                <w:szCs w:val="24"/>
              </w:rPr>
              <w:t>)</w:t>
            </w:r>
            <w:r>
              <w:rPr>
                <w:rFonts w:hint="eastAsia" w:ascii="仿宋" w:hAnsi="仿宋" w:eastAsia="仿宋" w:cs="仿宋"/>
                <w:sz w:val="24"/>
                <w:szCs w:val="24"/>
                <w:lang w:val="en-US" w:eastAsia="zh-CN"/>
              </w:rPr>
              <w:t>加3分</w:t>
            </w:r>
          </w:p>
        </w:tc>
        <w:tc>
          <w:tcPr>
            <w:tcW w:w="1700"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市市场监管局</w:t>
            </w:r>
          </w:p>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市经济和信息化局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7"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质量</w:t>
            </w:r>
          </w:p>
        </w:tc>
        <w:tc>
          <w:tcPr>
            <w:tcW w:w="4500" w:type="dxa"/>
            <w:vAlign w:val="center"/>
          </w:tcPr>
          <w:p>
            <w:pPr>
              <w:jc w:val="both"/>
              <w:rPr>
                <w:rFonts w:hint="default" w:ascii="仿宋" w:hAnsi="仿宋" w:eastAsia="仿宋" w:cs="仿宋"/>
                <w:sz w:val="24"/>
                <w:szCs w:val="24"/>
                <w:lang w:val="en-US" w:eastAsia="zh-CN"/>
              </w:rPr>
            </w:pPr>
            <w:r>
              <w:rPr>
                <w:rFonts w:hint="eastAsia" w:ascii="仿宋" w:hAnsi="仿宋" w:eastAsia="仿宋" w:cs="仿宋"/>
                <w:sz w:val="24"/>
                <w:szCs w:val="24"/>
              </w:rPr>
              <w:t>中国</w:t>
            </w:r>
            <w:r>
              <w:rPr>
                <w:rFonts w:hint="eastAsia" w:ascii="仿宋" w:hAnsi="仿宋" w:eastAsia="仿宋" w:cs="仿宋"/>
                <w:sz w:val="24"/>
                <w:szCs w:val="24"/>
                <w:lang w:val="en-US" w:eastAsia="zh-CN"/>
              </w:rPr>
              <w:t>质量</w:t>
            </w:r>
            <w:r>
              <w:rPr>
                <w:rFonts w:hint="eastAsia" w:ascii="仿宋" w:hAnsi="仿宋" w:eastAsia="仿宋" w:cs="仿宋"/>
                <w:sz w:val="24"/>
                <w:szCs w:val="24"/>
              </w:rPr>
              <w:t>奖</w:t>
            </w:r>
            <w:r>
              <w:rPr>
                <w:rFonts w:hint="eastAsia" w:ascii="仿宋" w:hAnsi="仿宋" w:eastAsia="仿宋" w:cs="仿宋"/>
                <w:sz w:val="24"/>
                <w:szCs w:val="24"/>
                <w:lang w:val="en-US" w:eastAsia="zh-CN"/>
              </w:rPr>
              <w:t>加5分</w:t>
            </w:r>
            <w:r>
              <w:rPr>
                <w:rFonts w:hint="eastAsia" w:ascii="仿宋" w:hAnsi="仿宋" w:eastAsia="仿宋" w:cs="仿宋"/>
                <w:sz w:val="24"/>
                <w:szCs w:val="24"/>
              </w:rPr>
              <w:t>、省政府</w:t>
            </w:r>
            <w:r>
              <w:rPr>
                <w:rFonts w:hint="eastAsia" w:ascii="仿宋" w:hAnsi="仿宋" w:eastAsia="仿宋" w:cs="仿宋"/>
                <w:sz w:val="24"/>
                <w:szCs w:val="24"/>
                <w:lang w:val="en-US" w:eastAsia="zh-CN"/>
              </w:rPr>
              <w:t>质量</w:t>
            </w:r>
            <w:r>
              <w:rPr>
                <w:rFonts w:hint="eastAsia" w:ascii="仿宋" w:hAnsi="仿宋" w:eastAsia="仿宋" w:cs="仿宋"/>
                <w:sz w:val="24"/>
                <w:szCs w:val="24"/>
              </w:rPr>
              <w:t>奖</w:t>
            </w:r>
            <w:r>
              <w:rPr>
                <w:rFonts w:hint="eastAsia" w:ascii="仿宋" w:hAnsi="仿宋" w:eastAsia="仿宋" w:cs="仿宋"/>
                <w:sz w:val="24"/>
                <w:szCs w:val="24"/>
                <w:lang w:val="en-US" w:eastAsia="zh-CN"/>
              </w:rPr>
              <w:t>加3分</w:t>
            </w:r>
            <w:r>
              <w:rPr>
                <w:rFonts w:hint="eastAsia" w:ascii="仿宋" w:hAnsi="仿宋" w:eastAsia="仿宋" w:cs="仿宋"/>
                <w:sz w:val="24"/>
                <w:szCs w:val="24"/>
              </w:rPr>
              <w:t>、市长</w:t>
            </w:r>
            <w:r>
              <w:rPr>
                <w:rFonts w:hint="eastAsia" w:ascii="仿宋" w:hAnsi="仿宋" w:eastAsia="仿宋" w:cs="仿宋"/>
                <w:sz w:val="24"/>
                <w:szCs w:val="24"/>
                <w:lang w:val="en-US" w:eastAsia="zh-CN"/>
              </w:rPr>
              <w:t>质量</w:t>
            </w:r>
            <w:r>
              <w:rPr>
                <w:rFonts w:hint="eastAsia" w:ascii="仿宋" w:hAnsi="仿宋" w:eastAsia="仿宋" w:cs="仿宋"/>
                <w:sz w:val="24"/>
                <w:szCs w:val="24"/>
              </w:rPr>
              <w:t>奖</w:t>
            </w:r>
            <w:r>
              <w:rPr>
                <w:rFonts w:hint="eastAsia" w:ascii="仿宋" w:hAnsi="仿宋" w:eastAsia="仿宋" w:cs="仿宋"/>
                <w:sz w:val="24"/>
                <w:szCs w:val="24"/>
                <w:lang w:val="en-US" w:eastAsia="zh-CN"/>
              </w:rPr>
              <w:t>加1分</w:t>
            </w:r>
          </w:p>
        </w:tc>
        <w:tc>
          <w:tcPr>
            <w:tcW w:w="1700"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市市场监管局</w:t>
            </w:r>
          </w:p>
          <w:p>
            <w:pPr>
              <w:jc w:val="center"/>
              <w:rPr>
                <w:rFonts w:hint="default" w:ascii="仿宋" w:hAnsi="仿宋"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7"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发明专利授权</w:t>
            </w:r>
          </w:p>
        </w:tc>
        <w:tc>
          <w:tcPr>
            <w:tcW w:w="4500" w:type="dxa"/>
            <w:vAlign w:val="center"/>
          </w:tcPr>
          <w:p>
            <w:pPr>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评价年度每新增一件发明专利授权，加0.5分，最高加3分</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市市场监管局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trPr>
        <w:tc>
          <w:tcPr>
            <w:tcW w:w="767"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诚信纳税</w:t>
            </w:r>
          </w:p>
        </w:tc>
        <w:tc>
          <w:tcPr>
            <w:tcW w:w="4500" w:type="dxa"/>
            <w:vAlign w:val="center"/>
          </w:tcPr>
          <w:p>
            <w:pPr>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A级纳税信用加1分</w:t>
            </w:r>
          </w:p>
        </w:tc>
        <w:tc>
          <w:tcPr>
            <w:tcW w:w="170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市税务局</w:t>
            </w:r>
          </w:p>
        </w:tc>
      </w:tr>
    </w:tbl>
    <w:p>
      <w:pPr>
        <w:pStyle w:val="2"/>
        <w:rPr>
          <w:rFonts w:hint="default" w:ascii="仿宋_GB2312" w:hAnsi="仿宋_GB2312" w:eastAsia="仿宋_GB2312" w:cs="仿宋_GB2312"/>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kern w:val="2"/>
          <w:sz w:val="32"/>
          <w:szCs w:val="32"/>
          <w:lang w:val="en-US" w:eastAsia="zh-CN" w:bidi="ar-SA"/>
        </w:rPr>
        <w:t xml:space="preserve"> 同一类别的加分项按照不重复和就高不就低的原则执行，企业获得的各类荣誉（证书）不在有效期范围内的不加分，各类综合素质附加项认定时间节点为评价年度的12月31日。 </w:t>
      </w:r>
    </w:p>
    <w:p>
      <w:pPr>
        <w:ind w:firstLine="643" w:firstLineChars="200"/>
        <w:rPr>
          <w:rFonts w:hint="eastAsia" w:ascii="仿宋_GB2312" w:hAnsi="仿宋_GB2312" w:eastAsia="仿宋_GB2312" w:cs="仿宋_GB2312"/>
          <w:color w:val="FF0000"/>
          <w:sz w:val="32"/>
          <w:szCs w:val="32"/>
          <w:lang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.计算方式。</w:t>
      </w:r>
      <w:r>
        <w:rPr>
          <w:rFonts w:hint="eastAsia" w:ascii="仿宋_GB2312" w:hAnsi="仿宋_GB2312" w:eastAsia="仿宋_GB2312" w:cs="仿宋_GB2312"/>
          <w:sz w:val="32"/>
          <w:szCs w:val="32"/>
        </w:rPr>
        <w:t>企业得分为每项指标得分之和。企业实际得分</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亩均税收/亩均税收基准值）×40+（亩均营业收入/亩均营业收入基准值）×20+（单位能耗营业收入/单位能耗营业收入基准值）×15+（全员劳动生产率/全员劳动生产率基准值）×15+（亩均技术改造投资/亩均技术改造投资基准值）×1</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+企业综合素质附加分。每项指标最高得分不超过该项指标基准分的1.5倍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企业某项指标为负数或空缺的，该项得分为0分。</w:t>
      </w:r>
    </w:p>
    <w:p>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 指标基准值：</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年，各项指标基准值采用全部参评企业指标</w:t>
      </w:r>
      <w:r>
        <w:rPr>
          <w:rFonts w:hint="eastAsia" w:ascii="仿宋_GB2312" w:hAnsi="仿宋_GB2312" w:eastAsia="仿宋_GB2312" w:cs="仿宋_GB2312"/>
          <w:sz w:val="32"/>
          <w:szCs w:val="32"/>
          <w:lang w:val="en-US" w:eastAsia="zh-CN"/>
        </w:rPr>
        <w:t>2021年度</w:t>
      </w:r>
      <w:r>
        <w:rPr>
          <w:rFonts w:hint="eastAsia" w:ascii="仿宋_GB2312" w:hAnsi="仿宋_GB2312" w:eastAsia="仿宋_GB2312" w:cs="仿宋_GB2312"/>
          <w:sz w:val="32"/>
          <w:szCs w:val="32"/>
        </w:rPr>
        <w:t>的算术平均值；202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及</w:t>
      </w:r>
      <w:r>
        <w:rPr>
          <w:rFonts w:hint="eastAsia" w:ascii="仿宋_GB2312" w:hAnsi="仿宋_GB2312" w:eastAsia="仿宋_GB2312" w:cs="仿宋_GB2312"/>
          <w:sz w:val="32"/>
          <w:szCs w:val="32"/>
        </w:rPr>
        <w:t>以后，各项指标基准值采用</w:t>
      </w:r>
      <w:r>
        <w:rPr>
          <w:rFonts w:hint="eastAsia" w:ascii="仿宋_GB2312" w:hAnsi="仿宋_GB2312" w:eastAsia="仿宋_GB2312" w:cs="仿宋_GB2312"/>
          <w:sz w:val="32"/>
          <w:szCs w:val="32"/>
          <w:lang w:eastAsia="zh-CN"/>
        </w:rPr>
        <w:t>在上年度平均值基础上设定的评价</w:t>
      </w:r>
      <w:r>
        <w:rPr>
          <w:rFonts w:hint="eastAsia" w:ascii="仿宋_GB2312" w:hAnsi="仿宋_GB2312" w:eastAsia="仿宋_GB2312" w:cs="仿宋_GB2312"/>
          <w:sz w:val="32"/>
          <w:szCs w:val="32"/>
        </w:rPr>
        <w:t>年度</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目标值。</w:t>
      </w:r>
    </w:p>
    <w:p>
      <w:pPr>
        <w:ind w:firstLine="640" w:firstLineChars="200"/>
        <w:rPr>
          <w:rFonts w:hint="eastAsia" w:ascii="楷体" w:hAnsi="楷体" w:eastAsia="楷体" w:cs="楷体"/>
          <w:sz w:val="32"/>
          <w:szCs w:val="32"/>
        </w:rPr>
      </w:pPr>
      <w:r>
        <w:rPr>
          <w:rFonts w:hint="eastAsia" w:ascii="楷体" w:hAnsi="楷体" w:eastAsia="楷体" w:cs="楷体"/>
          <w:sz w:val="32"/>
          <w:szCs w:val="32"/>
        </w:rPr>
        <w:t>（三）评价分档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依据评价得分高低排序，对参评企业按前20%(含)、20%-65%(含)、65%-95%(含)、后5%的比例范围分为A、B、C、D四档。</w:t>
      </w:r>
    </w:p>
    <w:p>
      <w:pPr>
        <w:ind w:firstLine="640" w:firstLineChars="200"/>
        <w:rPr>
          <w:rFonts w:hint="eastAsia" w:ascii="楷体" w:hAnsi="楷体" w:eastAsia="楷体" w:cs="楷体"/>
          <w:sz w:val="32"/>
          <w:szCs w:val="32"/>
        </w:rPr>
      </w:pPr>
      <w:r>
        <w:rPr>
          <w:rFonts w:hint="eastAsia" w:ascii="楷体" w:hAnsi="楷体" w:eastAsia="楷体" w:cs="楷体"/>
          <w:sz w:val="32"/>
          <w:szCs w:val="32"/>
        </w:rPr>
        <w:t>（四）定档调档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按照得分排序对参评企业评价分档后，如有下列情况的，进行定档调档，定档调档企业不影响其他企业依据得分排序的评价结果。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1.对评价年度主板上市企业、营业收入超</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0亿元或总税收超</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000万元企业直接定为A档。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2.对评价年度获得国家级荣誉（与工业经济发展相关）的企业，或对全市经济社会发展和产业转型升级作出突出贡献的企业，由企业所在县区政府（管委</w:t>
      </w:r>
      <w:r>
        <w:rPr>
          <w:rFonts w:hint="eastAsia" w:ascii="仿宋_GB2312" w:hAnsi="仿宋_GB2312" w:eastAsia="仿宋_GB2312" w:cs="仿宋_GB2312"/>
          <w:sz w:val="32"/>
          <w:szCs w:val="32"/>
          <w:lang w:eastAsia="zh-CN"/>
        </w:rPr>
        <w:t>会</w:t>
      </w:r>
      <w:r>
        <w:rPr>
          <w:rFonts w:hint="eastAsia" w:ascii="仿宋_GB2312" w:hAnsi="仿宋_GB2312" w:eastAsia="仿宋_GB2312" w:cs="仿宋_GB2312"/>
          <w:sz w:val="32"/>
          <w:szCs w:val="32"/>
        </w:rPr>
        <w:t>）提出申请，经市亩均效益评价专项工作组研究同意后，可提一档。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3.参评企业因得分并列原因导致A档企业超出参评企业前20%比例的，B档企业比例依次顺延（保持总体占比45%）。如B、D档企业数量超出设定比例范围，C档企业比例相应减少。4.近两年新纳规企业原则上不列为D档。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5.对评价年度发生较大及以上安全生产事故和环保责任事故的企业降一档。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6.坚持公正公平公开，加强评价结果的审核、公示和公布。</w:t>
      </w:r>
    </w:p>
    <w:p>
      <w:pPr>
        <w:ind w:firstLine="640" w:firstLineChars="200"/>
        <w:rPr>
          <w:rFonts w:hint="eastAsia" w:ascii="黑体" w:hAnsi="黑体" w:eastAsia="黑体" w:cs="黑体"/>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w:t>
      </w:r>
      <w:r>
        <w:rPr>
          <w:rFonts w:hint="eastAsia" w:ascii="黑体" w:hAnsi="黑体" w:eastAsia="黑体" w:cs="黑体"/>
          <w:sz w:val="32"/>
          <w:szCs w:val="32"/>
          <w:lang w:eastAsia="zh-CN"/>
        </w:rPr>
        <w:t>建立</w:t>
      </w:r>
      <w:r>
        <w:rPr>
          <w:rFonts w:hint="eastAsia" w:ascii="黑体" w:hAnsi="黑体" w:eastAsia="黑体" w:cs="黑体"/>
          <w:sz w:val="32"/>
          <w:szCs w:val="32"/>
        </w:rPr>
        <w:t>差别化政策措施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建立资源要素优化配置机制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强化评价结果运用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依据企业亩均效益评价结果，按照A档优先发展、B档提升发展、C档调控帮扶、D档倒逼整治的原则，</w:t>
      </w:r>
      <w:r>
        <w:rPr>
          <w:rFonts w:hint="eastAsia" w:ascii="仿宋_GB2312" w:hAnsi="仿宋_GB2312" w:eastAsia="仿宋_GB2312" w:cs="仿宋_GB2312"/>
          <w:sz w:val="32"/>
          <w:szCs w:val="32"/>
          <w:lang w:val="en-US" w:eastAsia="zh-CN"/>
        </w:rPr>
        <w:t>2022年底前，依据</w:t>
      </w:r>
      <w:r>
        <w:rPr>
          <w:rFonts w:eastAsia="仿宋_GB2312"/>
          <w:bCs/>
          <w:sz w:val="32"/>
          <w:szCs w:val="32"/>
        </w:rPr>
        <w:t>省联席会议成员单位形成</w:t>
      </w:r>
      <w:r>
        <w:rPr>
          <w:rFonts w:hint="eastAsia" w:eastAsia="仿宋_GB2312"/>
          <w:bCs/>
          <w:sz w:val="32"/>
          <w:szCs w:val="32"/>
          <w:lang w:eastAsia="zh-CN"/>
        </w:rPr>
        <w:t>的</w:t>
      </w:r>
      <w:r>
        <w:rPr>
          <w:rFonts w:eastAsia="仿宋_GB2312"/>
          <w:bCs/>
          <w:sz w:val="32"/>
          <w:szCs w:val="32"/>
        </w:rPr>
        <w:t>赋权政策清单</w:t>
      </w:r>
      <w:r>
        <w:rPr>
          <w:rFonts w:hint="eastAsia" w:eastAsia="仿宋_GB2312"/>
          <w:bCs/>
          <w:sz w:val="32"/>
          <w:szCs w:val="32"/>
          <w:lang w:eastAsia="zh-CN"/>
        </w:rPr>
        <w:t>，</w:t>
      </w:r>
      <w:r>
        <w:rPr>
          <w:rFonts w:hint="eastAsia" w:ascii="仿宋_GB2312" w:hAnsi="仿宋_GB2312" w:eastAsia="仿宋_GB2312" w:cs="仿宋_GB2312"/>
          <w:sz w:val="32"/>
          <w:szCs w:val="32"/>
        </w:rPr>
        <w:t>依法依规制定实施差别化财税、用地、用电、用水、用气、金融、人才等政策，推进资源要素向评价高的企业集聚，提升资源要素利用效率。</w:t>
      </w:r>
    </w:p>
    <w:p>
      <w:pPr>
        <w:ind w:firstLine="960" w:firstLineChars="300"/>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、保障机制</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（一）加强组织</w:t>
      </w:r>
      <w:r>
        <w:rPr>
          <w:rFonts w:hint="eastAsia" w:ascii="仿宋_GB2312" w:hAnsi="仿宋_GB2312" w:eastAsia="仿宋_GB2312" w:cs="仿宋_GB2312"/>
          <w:sz w:val="32"/>
          <w:szCs w:val="32"/>
          <w:lang w:eastAsia="zh-CN"/>
        </w:rPr>
        <w:t>领导</w:t>
      </w:r>
      <w:r>
        <w:rPr>
          <w:rFonts w:hint="eastAsia" w:ascii="仿宋_GB2312" w:hAnsi="仿宋_GB2312" w:eastAsia="仿宋_GB2312" w:cs="仿宋_GB2312"/>
          <w:sz w:val="32"/>
          <w:szCs w:val="32"/>
        </w:rPr>
        <w:t>。建立市亩均效益评价专项工作组，由市政府分管领导任组长，分管副秘书长、市经信局主要负责人任副组长，各县区政府（管委会）分管负责同志及市直相关部门负责同志任成员，办公室设在市经信局（简称“市亩均办”），负责日常工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（二）形成工作合力。</w:t>
      </w:r>
      <w:r>
        <w:rPr>
          <w:rFonts w:eastAsia="仿宋_GB2312"/>
          <w:sz w:val="32"/>
          <w:szCs w:val="32"/>
        </w:rPr>
        <w:t>各相关部门要按照“谁主管、谁统计、谁负责”的原则，加强数据清查、统计、报送等工作，确保责任落实到位。</w:t>
      </w:r>
      <w:r>
        <w:rPr>
          <w:rFonts w:hint="eastAsia" w:ascii="仿宋_GB2312" w:hAnsi="仿宋_GB2312" w:eastAsia="仿宋_GB2312" w:cs="仿宋_GB2312"/>
          <w:sz w:val="32"/>
          <w:szCs w:val="32"/>
        </w:rPr>
        <w:t>市</w:t>
      </w:r>
      <w:r>
        <w:rPr>
          <w:rFonts w:hint="eastAsia" w:ascii="仿宋_GB2312" w:hAnsi="仿宋_GB2312" w:eastAsia="仿宋_GB2312" w:cs="仿宋_GB2312"/>
          <w:sz w:val="32"/>
          <w:szCs w:val="32"/>
          <w:lang w:eastAsia="zh-CN"/>
        </w:rPr>
        <w:t>直</w:t>
      </w:r>
      <w:r>
        <w:rPr>
          <w:rFonts w:hint="eastAsia" w:ascii="仿宋_GB2312" w:hAnsi="仿宋_GB2312" w:eastAsia="仿宋_GB2312" w:cs="仿宋_GB2312"/>
          <w:sz w:val="32"/>
          <w:szCs w:val="32"/>
        </w:rPr>
        <w:t>有关</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要根据各自职责，研究制定深化亩均效益评价工作的市级差别化配套政策措施，加强协同配合和对各县区工作的指导，形成工作合力。各县区要严格落实主体责任，健全工作机制，细化配套政策，强化亩均效益评价工作与“标准地”改革的政策协同，推动改革举措落实落细。</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（二）强化督导激励。将亩均效益评价工作推进情况纳入市政府目标管理绩效考核，市亩均办会同有关部门定期对亩均效益评价工作落实情况进行调度、通报。</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加强宣传引导。充分利用各类媒体做好宣传引导，准确发布评价工作信息和政策法规，加强正面宣传，引导企业转变发展理念，主动参与、积极配合改革工作，及时总结推广先进经验和典型做法，为改革工作营造良好的舆论氛围和社会环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本文件自印发之日起实施，由市亩均办负责解释和修订。</w:t>
      </w:r>
    </w:p>
    <w:p>
      <w:pPr>
        <w:rPr>
          <w:rFonts w:hint="eastAsia" w:ascii="仿宋_GB2312" w:hAnsi="仿宋_GB2312" w:eastAsia="仿宋_GB2312" w:cs="仿宋_GB2312"/>
          <w:sz w:val="32"/>
          <w:szCs w:val="32"/>
        </w:rPr>
      </w:pP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附件：1.池州市亩均效益评价专项工作组组成人员</w:t>
      </w:r>
    </w:p>
    <w:p>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2.重点任务分解表 </w:t>
      </w:r>
    </w:p>
    <w:p>
      <w:pPr>
        <w:ind w:firstLine="1600" w:firstLineChars="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default" w:ascii="仿宋_GB2312" w:hAnsi="仿宋_GB2312" w:eastAsia="仿宋_GB2312" w:cs="仿宋_GB2312"/>
          <w:sz w:val="32"/>
          <w:szCs w:val="32"/>
          <w:lang w:val="en-US" w:eastAsia="zh-CN"/>
        </w:rPr>
        <w:t>评价范围及指标解释</w:t>
      </w:r>
    </w:p>
    <w:p>
      <w:pPr>
        <w:rPr>
          <w:rFonts w:hint="default"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微软雅黑" w:hAnsi="微软雅黑" w:eastAsia="微软雅黑" w:cs="微软雅黑"/>
          <w:b w:val="0"/>
          <w:bCs w:val="0"/>
          <w:i w:val="0"/>
          <w:iCs w:val="0"/>
          <w:caps w:val="0"/>
          <w:color w:val="333333"/>
          <w:spacing w:val="0"/>
          <w:kern w:val="0"/>
          <w:sz w:val="32"/>
          <w:szCs w:val="32"/>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微软雅黑" w:hAnsi="微软雅黑" w:eastAsia="微软雅黑" w:cs="微软雅黑"/>
          <w:b w:val="0"/>
          <w:bCs w:val="0"/>
          <w:i w:val="0"/>
          <w:iCs w:val="0"/>
          <w:caps w:val="0"/>
          <w:color w:val="333333"/>
          <w:spacing w:val="0"/>
          <w:kern w:val="0"/>
          <w:sz w:val="32"/>
          <w:szCs w:val="32"/>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微软雅黑" w:hAnsi="微软雅黑" w:eastAsia="微软雅黑" w:cs="微软雅黑"/>
          <w:b w:val="0"/>
          <w:bCs w:val="0"/>
          <w:i w:val="0"/>
          <w:iCs w:val="0"/>
          <w:caps w:val="0"/>
          <w:color w:val="333333"/>
          <w:spacing w:val="0"/>
          <w:kern w:val="0"/>
          <w:sz w:val="32"/>
          <w:szCs w:val="32"/>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微软雅黑" w:hAnsi="微软雅黑" w:eastAsia="微软雅黑" w:cs="微软雅黑"/>
          <w:b w:val="0"/>
          <w:bCs w:val="0"/>
          <w:i w:val="0"/>
          <w:iCs w:val="0"/>
          <w:caps w:val="0"/>
          <w:color w:val="333333"/>
          <w:spacing w:val="0"/>
          <w:kern w:val="0"/>
          <w:sz w:val="32"/>
          <w:szCs w:val="32"/>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微软雅黑" w:hAnsi="微软雅黑" w:eastAsia="微软雅黑" w:cs="微软雅黑"/>
        </w:rPr>
      </w:pPr>
      <w:r>
        <w:rPr>
          <w:rFonts w:hint="eastAsia" w:ascii="微软雅黑" w:hAnsi="微软雅黑" w:eastAsia="微软雅黑" w:cs="微软雅黑"/>
          <w:b w:val="0"/>
          <w:bCs w:val="0"/>
          <w:i w:val="0"/>
          <w:iCs w:val="0"/>
          <w:caps w:val="0"/>
          <w:color w:val="333333"/>
          <w:spacing w:val="0"/>
          <w:kern w:val="0"/>
          <w:sz w:val="32"/>
          <w:szCs w:val="32"/>
          <w:shd w:val="clear" w:fill="FFFFFF"/>
          <w:lang w:val="en-US" w:eastAsia="zh-CN" w:bidi="ar"/>
        </w:rPr>
        <w:t>附件1</w:t>
      </w:r>
    </w:p>
    <w:p>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rPr>
      </w:pPr>
      <w:r>
        <w:rPr>
          <w:rFonts w:hint="eastAsia" w:ascii="微软雅黑" w:hAnsi="微软雅黑" w:eastAsia="微软雅黑" w:cs="微软雅黑"/>
          <w:i w:val="0"/>
          <w:iCs w:val="0"/>
          <w:caps w:val="0"/>
          <w:color w:val="333333"/>
          <w:spacing w:val="0"/>
          <w:sz w:val="21"/>
          <w:szCs w:val="21"/>
          <w:shd w:val="clear" w:fill="FFFFFF"/>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ascii="微软雅黑" w:hAnsi="微软雅黑" w:eastAsia="微软雅黑" w:cs="微软雅黑"/>
        </w:rPr>
      </w:pPr>
      <w:r>
        <w:rPr>
          <w:rFonts w:hint="eastAsia" w:ascii="微软雅黑" w:hAnsi="微软雅黑" w:eastAsia="微软雅黑" w:cs="微软雅黑"/>
          <w:b w:val="0"/>
          <w:bCs w:val="0"/>
          <w:i w:val="0"/>
          <w:iCs w:val="0"/>
          <w:caps w:val="0"/>
          <w:color w:val="333333"/>
          <w:spacing w:val="0"/>
          <w:kern w:val="0"/>
          <w:sz w:val="44"/>
          <w:szCs w:val="44"/>
          <w:shd w:val="clear" w:fill="FFFFFF"/>
          <w:lang w:val="en-US" w:eastAsia="zh-CN" w:bidi="ar"/>
        </w:rPr>
        <w:t>池州市亩均效益评价专项工作组组成人员</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both"/>
        <w:rPr>
          <w:rFonts w:hint="eastAsia" w:ascii="微软雅黑" w:hAnsi="微软雅黑" w:eastAsia="微软雅黑" w:cs="微软雅黑"/>
        </w:rPr>
      </w:pPr>
      <w:r>
        <w:rPr>
          <w:rFonts w:hint="eastAsia" w:ascii="微软雅黑" w:hAnsi="微软雅黑" w:eastAsia="微软雅黑" w:cs="微软雅黑"/>
          <w:b w:val="0"/>
          <w:bCs w:val="0"/>
          <w:i w:val="0"/>
          <w:iCs w:val="0"/>
          <w:caps w:val="0"/>
          <w:color w:val="333333"/>
          <w:spacing w:val="0"/>
          <w:kern w:val="0"/>
          <w:sz w:val="32"/>
          <w:szCs w:val="32"/>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both"/>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组   长：   孙革新   市政府副市长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both"/>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副组长：   江兴来   市政府副秘书长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955"/>
        <w:jc w:val="both"/>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唐礼虎   市经济和信息化局局长</w:t>
      </w:r>
    </w:p>
    <w:p>
      <w:pPr>
        <w:spacing w:line="580" w:lineRule="exact"/>
        <w:ind w:firstLine="640" w:firstLineChars="200"/>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成   员：    </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   江南新兴产业集中区管委会***</w:t>
      </w:r>
    </w:p>
    <w:p>
      <w:pPr>
        <w:keepNext w:val="0"/>
        <w:keepLines w:val="0"/>
        <w:pageBreakBefore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b w:val="0"/>
          <w:bCs w:val="0"/>
          <w:i w:val="0"/>
          <w:iCs w:val="0"/>
          <w:caps w:val="0"/>
          <w:color w:val="333333"/>
          <w:spacing w:val="0"/>
          <w:kern w:val="0"/>
          <w:sz w:val="32"/>
          <w:szCs w:val="32"/>
          <w:shd w:val="clear" w:fill="FFFFFF"/>
          <w:lang w:val="en-US" w:eastAsia="zh-CN" w:bidi="ar"/>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   贵池区政府***</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val="en-US" w:eastAsia="zh-CN"/>
        </w:rPr>
        <w:t>东至县政府</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pStyle w:val="2"/>
        <w:keepNext w:val="0"/>
        <w:keepLines w:val="0"/>
        <w:pageBreakBefore w:val="0"/>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r>
        <w:rPr>
          <w:rFonts w:hint="eastAsia" w:ascii="仿宋_GB2312" w:hAnsi="仿宋_GB2312" w:eastAsia="仿宋_GB2312" w:cs="仿宋_GB2312"/>
          <w:sz w:val="32"/>
          <w:szCs w:val="32"/>
          <w:lang w:val="en-US" w:eastAsia="zh-CN"/>
        </w:rPr>
        <w:t xml:space="preserve">   石台县政府</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pStyle w:val="2"/>
        <w:keepNext w:val="0"/>
        <w:keepLines w:val="0"/>
        <w:pageBreakBefore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val="en-US" w:eastAsia="zh-CN"/>
        </w:rPr>
        <w:t xml:space="preserve">  青阳县政府 </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r>
        <w:rPr>
          <w:rFonts w:hint="eastAsia" w:ascii="仿宋_GB2312" w:hAnsi="仿宋_GB2312" w:eastAsia="仿宋_GB2312" w:cs="仿宋_GB2312"/>
          <w:sz w:val="32"/>
          <w:szCs w:val="32"/>
          <w:lang w:val="en-US" w:eastAsia="zh-CN"/>
        </w:rPr>
        <w:t xml:space="preserve"> </w:t>
      </w:r>
    </w:p>
    <w:p>
      <w:pPr>
        <w:keepNext w:val="0"/>
        <w:keepLines w:val="0"/>
        <w:pageBreakBefore w:val="0"/>
        <w:kinsoku/>
        <w:wordWrap/>
        <w:overflowPunct/>
        <w:topLinePunct w:val="0"/>
        <w:autoSpaceDE/>
        <w:autoSpaceDN/>
        <w:bidi w:val="0"/>
        <w:adjustRightInd/>
        <w:snapToGrid/>
        <w:spacing w:line="240" w:lineRule="auto"/>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r>
        <w:rPr>
          <w:rFonts w:hint="eastAsia" w:ascii="仿宋_GB2312" w:hAnsi="仿宋_GB2312" w:eastAsia="仿宋_GB2312" w:cs="仿宋_GB2312"/>
          <w:sz w:val="32"/>
          <w:szCs w:val="32"/>
          <w:lang w:val="en-US" w:eastAsia="zh-CN"/>
        </w:rPr>
        <w:t xml:space="preserve">   市开发区管委会</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560" w:firstLineChars="8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发展改革委</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560" w:firstLineChars="8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科技</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560" w:firstLineChars="8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val="en-US" w:eastAsia="zh-CN"/>
        </w:rPr>
        <w:t>市经济和信息化局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财政</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人力资源社会保障</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自然资源</w:t>
      </w:r>
      <w:r>
        <w:rPr>
          <w:rFonts w:hint="eastAsia" w:ascii="仿宋_GB2312" w:hAnsi="仿宋_GB2312" w:eastAsia="仿宋_GB2312" w:cs="仿宋_GB2312"/>
          <w:sz w:val="32"/>
          <w:szCs w:val="32"/>
          <w:lang w:eastAsia="zh-CN"/>
        </w:rPr>
        <w:t>和规划局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生态环境</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住房城乡建设</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水利</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tabs>
          <w:tab w:val="left" w:pos="2127"/>
        </w:tabs>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商务</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tabs>
          <w:tab w:val="left" w:pos="1985"/>
          <w:tab w:val="left" w:pos="2127"/>
        </w:tabs>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应急</w:t>
      </w:r>
      <w:r>
        <w:rPr>
          <w:rFonts w:hint="eastAsia" w:ascii="仿宋_GB2312" w:hAnsi="仿宋_GB2312" w:eastAsia="仿宋_GB2312" w:cs="仿宋_GB2312"/>
          <w:sz w:val="32"/>
          <w:szCs w:val="32"/>
          <w:lang w:eastAsia="zh-CN"/>
        </w:rPr>
        <w:t>管理局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市场监管局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统计局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地方金融监管局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数据资源局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税务局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rPr>
        <w:t>人行</w:t>
      </w:r>
      <w:r>
        <w:rPr>
          <w:rFonts w:hint="eastAsia" w:ascii="仿宋_GB2312" w:hAnsi="仿宋_GB2312" w:eastAsia="仿宋_GB2312" w:cs="仿宋_GB2312"/>
          <w:sz w:val="32"/>
          <w:szCs w:val="32"/>
          <w:lang w:eastAsia="zh-CN"/>
        </w:rPr>
        <w:t>池州</w:t>
      </w:r>
      <w:r>
        <w:rPr>
          <w:rFonts w:hint="eastAsia" w:ascii="仿宋_GB2312" w:hAnsi="仿宋_GB2312" w:eastAsia="仿宋_GB2312" w:cs="仿宋_GB2312"/>
          <w:sz w:val="32"/>
          <w:szCs w:val="32"/>
        </w:rPr>
        <w:t>中心支行</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池州</w:t>
      </w:r>
      <w:r>
        <w:rPr>
          <w:rFonts w:hint="eastAsia" w:ascii="仿宋_GB2312" w:hAnsi="仿宋_GB2312" w:eastAsia="仿宋_GB2312" w:cs="仿宋_GB2312"/>
          <w:sz w:val="32"/>
          <w:szCs w:val="32"/>
        </w:rPr>
        <w:t>银保监局</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2400" w:firstLineChars="7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 xml:space="preserve">***   </w:t>
      </w:r>
      <w:r>
        <w:rPr>
          <w:rFonts w:hint="eastAsia" w:ascii="仿宋_GB2312" w:hAnsi="仿宋_GB2312" w:eastAsia="仿宋_GB2312" w:cs="仿宋_GB2312"/>
          <w:sz w:val="32"/>
          <w:szCs w:val="32"/>
          <w:lang w:eastAsia="zh-CN"/>
        </w:rPr>
        <w:t>池州供</w:t>
      </w:r>
      <w:r>
        <w:rPr>
          <w:rFonts w:hint="eastAsia" w:ascii="仿宋_GB2312" w:hAnsi="仿宋_GB2312" w:eastAsia="仿宋_GB2312" w:cs="仿宋_GB2312"/>
          <w:sz w:val="32"/>
          <w:szCs w:val="32"/>
        </w:rPr>
        <w:t>电公司</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p>
    <w:p>
      <w:pPr>
        <w:keepNext w:val="0"/>
        <w:keepLines w:val="0"/>
        <w:pageBreakBefore w:val="0"/>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亩均办”设在</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经济和信息化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rPr>
        <w:t>，</w:t>
      </w:r>
      <w:r>
        <w:rPr>
          <w:rFonts w:hint="eastAsia" w:ascii="仿宋_GB2312" w:hAnsi="仿宋_GB2312" w:eastAsia="仿宋_GB2312" w:cs="仿宋_GB2312"/>
          <w:b w:val="0"/>
          <w:bCs w:val="0"/>
          <w:i w:val="0"/>
          <w:iCs w:val="0"/>
          <w:caps w:val="0"/>
          <w:color w:val="333333"/>
          <w:spacing w:val="0"/>
          <w:kern w:val="0"/>
          <w:sz w:val="32"/>
          <w:szCs w:val="32"/>
          <w:shd w:val="clear" w:fill="FFFFFF"/>
          <w:lang w:val="en-US" w:eastAsia="zh-CN" w:bidi="ar"/>
        </w:rPr>
        <w:t>***</w:t>
      </w:r>
      <w:r>
        <w:rPr>
          <w:rFonts w:hint="eastAsia" w:ascii="仿宋_GB2312" w:hAnsi="仿宋_GB2312" w:eastAsia="仿宋_GB2312" w:cs="仿宋_GB2312"/>
          <w:sz w:val="32"/>
          <w:szCs w:val="32"/>
        </w:rPr>
        <w:t>同志兼任办公室主任。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4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微软雅黑" w:hAnsi="微软雅黑" w:eastAsia="微软雅黑" w:cs="微软雅黑"/>
        </w:rPr>
      </w:pPr>
      <w:r>
        <w:rPr>
          <w:rFonts w:hint="eastAsia" w:ascii="微软雅黑" w:hAnsi="微软雅黑" w:eastAsia="微软雅黑" w:cs="微软雅黑"/>
          <w:b w:val="0"/>
          <w:bCs w:val="0"/>
          <w:i w:val="0"/>
          <w:iCs w:val="0"/>
          <w:caps w:val="0"/>
          <w:color w:val="333333"/>
          <w:spacing w:val="0"/>
          <w:kern w:val="0"/>
          <w:sz w:val="32"/>
          <w:szCs w:val="32"/>
          <w:shd w:val="clear" w:fill="FFFFFF"/>
          <w:lang w:val="en-US" w:eastAsia="zh-CN" w:bidi="ar"/>
        </w:rPr>
        <w:t>附件2</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b w:val="0"/>
          <w:bCs w:val="0"/>
          <w:i w:val="0"/>
          <w:iCs w:val="0"/>
          <w:caps w:val="0"/>
          <w:color w:val="333333"/>
          <w:spacing w:val="0"/>
          <w:kern w:val="0"/>
          <w:sz w:val="21"/>
          <w:szCs w:val="21"/>
          <w:shd w:val="clear" w:fill="FFFFFF"/>
          <w:lang w:val="en-US" w:eastAsia="zh-CN" w:bidi="ar"/>
        </w:rPr>
      </w:pPr>
      <w:r>
        <w:rPr>
          <w:rFonts w:hint="eastAsia" w:ascii="微软雅黑" w:hAnsi="微软雅黑" w:eastAsia="微软雅黑" w:cs="微软雅黑"/>
          <w:b w:val="0"/>
          <w:bCs w:val="0"/>
          <w:i w:val="0"/>
          <w:iCs w:val="0"/>
          <w:caps w:val="0"/>
          <w:color w:val="333333"/>
          <w:spacing w:val="0"/>
          <w:kern w:val="0"/>
          <w:sz w:val="44"/>
          <w:szCs w:val="44"/>
          <w:shd w:val="clear" w:fill="FFFFFF"/>
          <w:lang w:val="en-US" w:eastAsia="zh-CN" w:bidi="ar"/>
        </w:rPr>
        <w:t>重点任务分解表</w:t>
      </w:r>
      <w:r>
        <w:rPr>
          <w:rFonts w:hint="eastAsia" w:ascii="微软雅黑" w:hAnsi="微软雅黑" w:eastAsia="微软雅黑" w:cs="微软雅黑"/>
          <w:b w:val="0"/>
          <w:bCs w:val="0"/>
          <w:i w:val="0"/>
          <w:iCs w:val="0"/>
          <w:caps w:val="0"/>
          <w:color w:val="333333"/>
          <w:spacing w:val="0"/>
          <w:kern w:val="0"/>
          <w:sz w:val="21"/>
          <w:szCs w:val="21"/>
          <w:shd w:val="clear" w:fill="FFFFFF"/>
          <w:lang w:val="en-US" w:eastAsia="zh-CN" w:bidi="ar"/>
        </w:rPr>
        <w:t> </w:t>
      </w:r>
    </w:p>
    <w:tbl>
      <w:tblPr>
        <w:tblStyle w:val="7"/>
        <w:tblW w:w="84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4290"/>
        <w:gridCol w:w="1605"/>
        <w:gridCol w:w="1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45" w:hRule="atLeast"/>
        </w:trPr>
        <w:tc>
          <w:tcPr>
            <w:tcW w:w="65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序号</w:t>
            </w:r>
          </w:p>
        </w:tc>
        <w:tc>
          <w:tcPr>
            <w:tcW w:w="4290"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任务分工</w:t>
            </w:r>
          </w:p>
        </w:tc>
        <w:tc>
          <w:tcPr>
            <w:tcW w:w="1605"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责任单位</w:t>
            </w:r>
          </w:p>
        </w:tc>
        <w:tc>
          <w:tcPr>
            <w:tcW w:w="1875"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完成时限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795"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1</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负责市亩均办日常工作，统筹协调各部门、各县区开展亩均效益评价工作。</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市经信局</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常态化推进。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55"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负责提供规模以上工业企业名录及各企业的年度产值、年平均职工人数、综合能源消费量、技术改造投资等数据。对相关企业申诉进行处理并做好解释。</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市统计局</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每年2月底前完成。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75"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3</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负责提供规模以上工业企业税收、营业收入等数据。对相关企业申诉进行处理并做好解释。</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市税务局</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每年2月底前完成。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80"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4</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牵头各县区、开发园区自然资源和规划部门负责提供本辖区企业实际占用(含租赁)土地面积，在系统中录入，对相关企业申诉进行处理并做好解释。</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市自然资源局</w:t>
            </w:r>
          </w:p>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各地自然资源和规划部门</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18"/>
                <w:szCs w:val="18"/>
                <w:u w:val="none"/>
                <w:lang w:val="en-US" w:eastAsia="zh-CN" w:bidi="ar"/>
              </w:rPr>
            </w:pPr>
            <w:r>
              <w:rPr>
                <w:rFonts w:hint="eastAsia" w:ascii="微软雅黑" w:hAnsi="微软雅黑" w:eastAsia="微软雅黑" w:cs="微软雅黑"/>
                <w:i w:val="0"/>
                <w:iCs w:val="0"/>
                <w:color w:val="000000"/>
                <w:kern w:val="0"/>
                <w:sz w:val="18"/>
                <w:szCs w:val="18"/>
                <w:u w:val="none"/>
                <w:lang w:val="en-US" w:eastAsia="zh-CN" w:bidi="ar"/>
              </w:rPr>
              <w:t>每年2月底前完成。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20"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5"/>
                <w:szCs w:val="15"/>
                <w:u w:val="none"/>
              </w:rPr>
            </w:pPr>
            <w:r>
              <w:rPr>
                <w:rFonts w:hint="eastAsia" w:ascii="微软雅黑" w:hAnsi="微软雅黑" w:eastAsia="微软雅黑" w:cs="微软雅黑"/>
                <w:i w:val="0"/>
                <w:iCs w:val="0"/>
                <w:color w:val="000000"/>
                <w:kern w:val="0"/>
                <w:sz w:val="15"/>
                <w:szCs w:val="15"/>
                <w:u w:val="none"/>
                <w:lang w:val="en-US" w:eastAsia="zh-CN" w:bidi="ar"/>
              </w:rPr>
              <w:t>5</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提供评价年度发生较大及以上环保责任事故的企业名单。</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市生态环境局</w:t>
            </w:r>
          </w:p>
        </w:tc>
        <w:tc>
          <w:tcPr>
            <w:tcW w:w="1875" w:type="dxa"/>
            <w:tcBorders>
              <w:top w:val="nil"/>
              <w:left w:val="nil"/>
              <w:bottom w:val="nil"/>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每年2月底前完成。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85"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6</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提供评价年度发生较大及以上安全生产事故的企业名单。</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市应急管理局</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每年2月底前完成。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105"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7</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对接江淮大数据中心平台中的省亩均效益评价数据库，建立数据评价平台。</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市数管局      各县区政府（管委会）</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2022年4月底前完成。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820"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8</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研究制定深化亩均效益评价工作的市级差别化配套政策措施。</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市亩均效益评价专项工作组成员单位</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2022年底前完成。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00" w:hRule="atLeast"/>
        </w:trPr>
        <w:tc>
          <w:tcPr>
            <w:tcW w:w="651"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18"/>
                <w:szCs w:val="18"/>
                <w:u w:val="none"/>
                <w:lang w:val="en-US"/>
              </w:rPr>
            </w:pPr>
            <w:r>
              <w:rPr>
                <w:rFonts w:hint="eastAsia" w:ascii="微软雅黑" w:hAnsi="微软雅黑" w:eastAsia="微软雅黑" w:cs="微软雅黑"/>
                <w:i w:val="0"/>
                <w:iCs w:val="0"/>
                <w:color w:val="000000"/>
                <w:kern w:val="0"/>
                <w:sz w:val="18"/>
                <w:szCs w:val="18"/>
                <w:u w:val="none"/>
                <w:lang w:val="en-US" w:eastAsia="zh-CN" w:bidi="ar"/>
              </w:rPr>
              <w:t>9</w:t>
            </w:r>
          </w:p>
        </w:tc>
        <w:tc>
          <w:tcPr>
            <w:tcW w:w="429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对照市级标准成立专项工作组，健全工作机制。</w:t>
            </w:r>
          </w:p>
        </w:tc>
        <w:tc>
          <w:tcPr>
            <w:tcW w:w="160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各县区政府（管委会）</w:t>
            </w:r>
          </w:p>
        </w:tc>
        <w:tc>
          <w:tcPr>
            <w:tcW w:w="18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2022年6月底前完成。</w:t>
            </w:r>
          </w:p>
        </w:tc>
      </w:tr>
    </w:tbl>
    <w:p>
      <w:pPr>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2"/>
        <w:rPr>
          <w:rFonts w:hint="eastAsia" w:ascii="仿宋_GB2312" w:hAnsi="仿宋_GB2312" w:eastAsia="仿宋_GB2312" w:cs="仿宋_GB2312"/>
          <w:sz w:val="32"/>
          <w:szCs w:val="32"/>
        </w:rPr>
      </w:pP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微软雅黑" w:hAnsi="微软雅黑" w:eastAsia="微软雅黑" w:cs="微软雅黑"/>
          <w:i w:val="0"/>
          <w:iCs w:val="0"/>
          <w:caps w:val="0"/>
          <w:color w:val="333333"/>
          <w:spacing w:val="0"/>
          <w:sz w:val="21"/>
          <w:szCs w:val="21"/>
        </w:rPr>
      </w:pPr>
      <w:r>
        <w:rPr>
          <w:rFonts w:ascii="黑体" w:hAnsi="宋体" w:eastAsia="黑体" w:cs="黑体"/>
          <w:b w:val="0"/>
          <w:bCs w:val="0"/>
          <w:i w:val="0"/>
          <w:iCs w:val="0"/>
          <w:caps w:val="0"/>
          <w:color w:val="333333"/>
          <w:spacing w:val="0"/>
          <w:sz w:val="32"/>
          <w:szCs w:val="32"/>
          <w:shd w:val="clear" w:fill="FFFFFF"/>
        </w:rPr>
        <w:t>附件</w:t>
      </w:r>
      <w:r>
        <w:rPr>
          <w:rFonts w:hint="default" w:ascii="Times New Roman" w:hAnsi="Times New Roman" w:eastAsia="微软雅黑" w:cs="Times New Roman"/>
          <w:b w:val="0"/>
          <w:bCs w:val="0"/>
          <w:i w:val="0"/>
          <w:iCs w:val="0"/>
          <w:caps w:val="0"/>
          <w:color w:val="333333"/>
          <w:spacing w:val="0"/>
          <w:sz w:val="32"/>
          <w:szCs w:val="32"/>
          <w:shd w:val="clear" w:fill="FFFFFF"/>
        </w:rPr>
        <w:t>3</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1"/>
          <w:szCs w:val="21"/>
        </w:rPr>
      </w:pPr>
      <w:r>
        <w:rPr>
          <w:rFonts w:ascii="方正小标宋简体" w:hAnsi="方正小标宋简体" w:eastAsia="方正小标宋简体" w:cs="方正小标宋简体"/>
          <w:b w:val="0"/>
          <w:bCs w:val="0"/>
          <w:i w:val="0"/>
          <w:iCs w:val="0"/>
          <w:caps w:val="0"/>
          <w:color w:val="333333"/>
          <w:spacing w:val="0"/>
          <w:kern w:val="0"/>
          <w:sz w:val="44"/>
          <w:szCs w:val="44"/>
          <w:shd w:val="clear" w:fill="FFFFFF"/>
          <w:lang w:val="en-US" w:eastAsia="zh-CN" w:bidi="ar"/>
        </w:rPr>
        <w:t>评价范围及指标解释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黑体" w:hAnsi="宋体" w:eastAsia="黑体" w:cs="黑体"/>
          <w:b w:val="0"/>
          <w:bCs w:val="0"/>
          <w:i w:val="0"/>
          <w:iCs w:val="0"/>
          <w:caps w:val="0"/>
          <w:color w:val="333333"/>
          <w:spacing w:val="0"/>
          <w:kern w:val="0"/>
          <w:sz w:val="32"/>
          <w:szCs w:val="32"/>
          <w:shd w:val="clear" w:fill="FFFFFF"/>
          <w:lang w:val="en-US" w:eastAsia="zh-CN" w:bidi="ar"/>
        </w:rPr>
        <w:t>一、评价范围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ascii="仿宋_GB2312" w:hAnsi="Times New Roman" w:eastAsia="仿宋_GB2312" w:cs="仿宋_GB2312"/>
          <w:b w:val="0"/>
          <w:bCs w:val="0"/>
          <w:i w:val="0"/>
          <w:iCs w:val="0"/>
          <w:caps w:val="0"/>
          <w:color w:val="333333"/>
          <w:spacing w:val="0"/>
          <w:kern w:val="0"/>
          <w:sz w:val="32"/>
          <w:szCs w:val="32"/>
          <w:shd w:val="clear" w:fill="FFFFFF"/>
          <w:lang w:val="en-US" w:eastAsia="zh-CN" w:bidi="ar"/>
        </w:rPr>
        <w:t>规模以上工业企业和占地</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5</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亩以上的规模以下工业企业。其中，电力、热力、燃气、水生产和供应业、垃圾处理、污水处理等公益性企业不纳入评价。对停产技改企业、兼并重组类企业及其他暂不适宜纳入评价的企业，由企业所在县区、开发园区在评价工作规定的时间内，报市市亩均效益办，经公示并报</w:t>
      </w:r>
      <w:r>
        <w:rPr>
          <w:rFonts w:hint="eastAsia" w:ascii="仿宋_GB2312" w:hAnsi="仿宋_GB2312" w:eastAsia="仿宋_GB2312" w:cs="仿宋_GB2312"/>
          <w:sz w:val="32"/>
          <w:szCs w:val="32"/>
          <w:lang w:val="en-US" w:eastAsia="zh-CN"/>
        </w:rPr>
        <w:t>专项工作组</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同意后，可暂不评价。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黑体" w:hAnsi="宋体" w:eastAsia="黑体" w:cs="黑体"/>
          <w:b w:val="0"/>
          <w:bCs w:val="0"/>
          <w:i w:val="0"/>
          <w:iCs w:val="0"/>
          <w:caps w:val="0"/>
          <w:color w:val="333333"/>
          <w:spacing w:val="0"/>
          <w:kern w:val="0"/>
          <w:sz w:val="32"/>
          <w:szCs w:val="32"/>
          <w:shd w:val="clear" w:fill="FFFFFF"/>
          <w:lang w:val="en-US" w:eastAsia="zh-CN" w:bidi="ar"/>
        </w:rPr>
        <w:t>二、评价指标解释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left"/>
        <w:rPr>
          <w:rFonts w:hint="eastAsia" w:ascii="微软雅黑" w:hAnsi="微软雅黑" w:eastAsia="微软雅黑" w:cs="微软雅黑"/>
          <w:i w:val="0"/>
          <w:iCs w:val="0"/>
          <w:caps w:val="0"/>
          <w:color w:val="333333"/>
          <w:spacing w:val="0"/>
          <w:sz w:val="21"/>
          <w:szCs w:val="21"/>
        </w:rPr>
      </w:pPr>
      <w:r>
        <w:rPr>
          <w:rFonts w:ascii="楷体_GB2312" w:hAnsi="微软雅黑" w:eastAsia="楷体_GB2312" w:cs="楷体_GB2312"/>
          <w:b/>
          <w:bCs/>
          <w:i w:val="0"/>
          <w:iCs w:val="0"/>
          <w:caps w:val="0"/>
          <w:color w:val="333333"/>
          <w:spacing w:val="0"/>
          <w:kern w:val="0"/>
          <w:sz w:val="32"/>
          <w:szCs w:val="32"/>
          <w:shd w:val="clear" w:fill="FFFFFF"/>
          <w:lang w:val="en-US" w:eastAsia="zh-CN" w:bidi="ar"/>
        </w:rPr>
        <w:t>1</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亩均营业收入【单位</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万元</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亩均营业收入</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总营业收入</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用地面积。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总营业收入：包括增值税计税销售额、简易征收销售额、出口销售额、免税销售额。</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sz w:val="32"/>
          <w:szCs w:val="32"/>
          <w:shd w:val="clear" w:fill="FFFFFF"/>
        </w:rPr>
        <w:t>用地面积（下同）：指企业实际占用的土地面积，包括自有土地面积和租用土地面积。</w:t>
      </w:r>
      <w:r>
        <w:rPr>
          <w:rFonts w:hint="default" w:ascii="Times New Roman" w:hAnsi="Times New Roman" w:eastAsia="微软雅黑" w:cs="Times New Roman"/>
          <w:b w:val="0"/>
          <w:bCs w:val="0"/>
          <w:i w:val="0"/>
          <w:iCs w:val="0"/>
          <w:caps w:val="0"/>
          <w:color w:val="333333"/>
          <w:spacing w:val="0"/>
          <w:sz w:val="32"/>
          <w:szCs w:val="32"/>
          <w:shd w:val="clear" w:fill="FFFFFF"/>
        </w:rPr>
        <w:t>①</w:t>
      </w:r>
      <w:r>
        <w:rPr>
          <w:rFonts w:hint="eastAsia" w:ascii="仿宋_GB2312" w:hAnsi="Times New Roman" w:eastAsia="仿宋_GB2312" w:cs="仿宋_GB2312"/>
          <w:b w:val="0"/>
          <w:bCs w:val="0"/>
          <w:i w:val="0"/>
          <w:iCs w:val="0"/>
          <w:caps w:val="0"/>
          <w:color w:val="333333"/>
          <w:spacing w:val="0"/>
          <w:sz w:val="32"/>
          <w:szCs w:val="32"/>
          <w:shd w:val="clear" w:fill="FFFFFF"/>
        </w:rPr>
        <w:t>自有土地面积指企业经资源规划部门登记的土地面积；取得土地使用权超过</w:t>
      </w:r>
      <w:r>
        <w:rPr>
          <w:rFonts w:hint="default" w:ascii="Times New Roman" w:hAnsi="Times New Roman" w:eastAsia="微软雅黑" w:cs="Times New Roman"/>
          <w:b w:val="0"/>
          <w:bCs w:val="0"/>
          <w:i w:val="0"/>
          <w:iCs w:val="0"/>
          <w:caps w:val="0"/>
          <w:color w:val="333333"/>
          <w:spacing w:val="0"/>
          <w:sz w:val="32"/>
          <w:szCs w:val="32"/>
          <w:shd w:val="clear" w:fill="FFFFFF"/>
        </w:rPr>
        <w:t>3</w:t>
      </w:r>
      <w:r>
        <w:rPr>
          <w:rFonts w:hint="eastAsia" w:ascii="仿宋_GB2312" w:hAnsi="Times New Roman" w:eastAsia="仿宋_GB2312" w:cs="仿宋_GB2312"/>
          <w:b w:val="0"/>
          <w:bCs w:val="0"/>
          <w:i w:val="0"/>
          <w:iCs w:val="0"/>
          <w:caps w:val="0"/>
          <w:color w:val="333333"/>
          <w:spacing w:val="0"/>
          <w:sz w:val="32"/>
          <w:szCs w:val="32"/>
          <w:shd w:val="clear" w:fill="FFFFFF"/>
        </w:rPr>
        <w:t>年的全部计算土地面积，不超过</w:t>
      </w:r>
      <w:r>
        <w:rPr>
          <w:rFonts w:hint="default" w:ascii="Times New Roman" w:hAnsi="Times New Roman" w:eastAsia="微软雅黑" w:cs="Times New Roman"/>
          <w:b w:val="0"/>
          <w:bCs w:val="0"/>
          <w:i w:val="0"/>
          <w:iCs w:val="0"/>
          <w:caps w:val="0"/>
          <w:color w:val="333333"/>
          <w:spacing w:val="0"/>
          <w:sz w:val="32"/>
          <w:szCs w:val="32"/>
          <w:shd w:val="clear" w:fill="FFFFFF"/>
        </w:rPr>
        <w:t>3</w:t>
      </w:r>
      <w:r>
        <w:rPr>
          <w:rFonts w:hint="eastAsia" w:ascii="仿宋_GB2312" w:hAnsi="Times New Roman" w:eastAsia="仿宋_GB2312" w:cs="仿宋_GB2312"/>
          <w:b w:val="0"/>
          <w:bCs w:val="0"/>
          <w:i w:val="0"/>
          <w:iCs w:val="0"/>
          <w:caps w:val="0"/>
          <w:color w:val="333333"/>
          <w:spacing w:val="0"/>
          <w:sz w:val="32"/>
          <w:szCs w:val="32"/>
          <w:shd w:val="clear" w:fill="FFFFFF"/>
        </w:rPr>
        <w:t>年的，项目建设期的土地不计算面积，无项目建设的计算土地面积；企业出租土地面积不扣减。</w:t>
      </w:r>
      <w:r>
        <w:rPr>
          <w:rFonts w:hint="default" w:ascii="Times New Roman" w:hAnsi="Times New Roman" w:eastAsia="微软雅黑" w:cs="Times New Roman"/>
          <w:b w:val="0"/>
          <w:bCs w:val="0"/>
          <w:i w:val="0"/>
          <w:iCs w:val="0"/>
          <w:caps w:val="0"/>
          <w:color w:val="333333"/>
          <w:spacing w:val="0"/>
          <w:sz w:val="32"/>
          <w:szCs w:val="32"/>
          <w:shd w:val="clear" w:fill="FFFFFF"/>
        </w:rPr>
        <w:t>②</w:t>
      </w:r>
      <w:r>
        <w:rPr>
          <w:rFonts w:hint="eastAsia" w:ascii="仿宋_GB2312" w:hAnsi="Times New Roman" w:eastAsia="仿宋_GB2312" w:cs="仿宋_GB2312"/>
          <w:b w:val="0"/>
          <w:bCs w:val="0"/>
          <w:i w:val="0"/>
          <w:iCs w:val="0"/>
          <w:caps w:val="0"/>
          <w:color w:val="333333"/>
          <w:spacing w:val="0"/>
          <w:sz w:val="32"/>
          <w:szCs w:val="32"/>
          <w:shd w:val="clear" w:fill="FFFFFF"/>
        </w:rPr>
        <w:t>租用土地面积指企业租赁取得的实际用地面积，若企业租赁标准化厂房或无法准确计算用地面积，则根据企业租赁的建筑面积与容积率之比计算用地面积。</w:t>
      </w:r>
      <w:r>
        <w:rPr>
          <w:rFonts w:hint="default" w:ascii="Times New Roman" w:hAnsi="Times New Roman" w:eastAsia="微软雅黑" w:cs="Times New Roman"/>
          <w:b w:val="0"/>
          <w:bCs w:val="0"/>
          <w:i w:val="0"/>
          <w:iCs w:val="0"/>
          <w:caps w:val="0"/>
          <w:color w:val="333333"/>
          <w:spacing w:val="0"/>
          <w:sz w:val="32"/>
          <w:szCs w:val="32"/>
          <w:shd w:val="clear" w:fill="FFFFFF"/>
        </w:rPr>
        <w:t>③</w:t>
      </w:r>
      <w:r>
        <w:rPr>
          <w:rFonts w:hint="eastAsia" w:ascii="仿宋_GB2312" w:hAnsi="Times New Roman" w:eastAsia="仿宋_GB2312" w:cs="仿宋_GB2312"/>
          <w:b w:val="0"/>
          <w:bCs w:val="0"/>
          <w:i w:val="0"/>
          <w:iCs w:val="0"/>
          <w:caps w:val="0"/>
          <w:color w:val="333333"/>
          <w:spacing w:val="0"/>
          <w:sz w:val="32"/>
          <w:szCs w:val="32"/>
          <w:shd w:val="clear" w:fill="FFFFFF"/>
        </w:rPr>
        <w:t>对于</w:t>
      </w:r>
      <w:r>
        <w:rPr>
          <w:rFonts w:hint="default" w:ascii="Times New Roman" w:hAnsi="Times New Roman" w:eastAsia="微软雅黑" w:cs="Times New Roman"/>
          <w:b w:val="0"/>
          <w:bCs w:val="0"/>
          <w:i w:val="0"/>
          <w:iCs w:val="0"/>
          <w:caps w:val="0"/>
          <w:color w:val="333333"/>
          <w:spacing w:val="0"/>
          <w:sz w:val="32"/>
          <w:szCs w:val="32"/>
          <w:shd w:val="clear" w:fill="FFFFFF"/>
        </w:rPr>
        <w:t>“</w:t>
      </w:r>
      <w:r>
        <w:rPr>
          <w:rFonts w:hint="eastAsia" w:ascii="仿宋_GB2312" w:hAnsi="Times New Roman" w:eastAsia="仿宋_GB2312" w:cs="仿宋_GB2312"/>
          <w:b w:val="0"/>
          <w:bCs w:val="0"/>
          <w:i w:val="0"/>
          <w:iCs w:val="0"/>
          <w:caps w:val="0"/>
          <w:color w:val="333333"/>
          <w:spacing w:val="0"/>
          <w:sz w:val="32"/>
          <w:szCs w:val="32"/>
          <w:shd w:val="clear" w:fill="FFFFFF"/>
        </w:rPr>
        <w:t>一企多地</w:t>
      </w:r>
      <w:r>
        <w:rPr>
          <w:rFonts w:hint="default" w:ascii="Times New Roman" w:hAnsi="Times New Roman" w:eastAsia="微软雅黑" w:cs="Times New Roman"/>
          <w:b w:val="0"/>
          <w:bCs w:val="0"/>
          <w:i w:val="0"/>
          <w:iCs w:val="0"/>
          <w:caps w:val="0"/>
          <w:color w:val="333333"/>
          <w:spacing w:val="0"/>
          <w:sz w:val="32"/>
          <w:szCs w:val="32"/>
          <w:shd w:val="clear" w:fill="FFFFFF"/>
        </w:rPr>
        <w:t>”</w:t>
      </w:r>
      <w:r>
        <w:rPr>
          <w:rFonts w:hint="eastAsia" w:ascii="仿宋_GB2312" w:hAnsi="Times New Roman" w:eastAsia="仿宋_GB2312" w:cs="仿宋_GB2312"/>
          <w:b w:val="0"/>
          <w:bCs w:val="0"/>
          <w:i w:val="0"/>
          <w:iCs w:val="0"/>
          <w:caps w:val="0"/>
          <w:color w:val="333333"/>
          <w:spacing w:val="0"/>
          <w:sz w:val="32"/>
          <w:szCs w:val="32"/>
          <w:shd w:val="clear" w:fill="FFFFFF"/>
        </w:rPr>
        <w:t>，需将企业所有实际用地进行合并后评价。</w:t>
      </w:r>
      <w:r>
        <w:rPr>
          <w:rFonts w:hint="default" w:ascii="Times New Roman" w:hAnsi="Times New Roman" w:eastAsia="微软雅黑" w:cs="Times New Roman"/>
          <w:b w:val="0"/>
          <w:bCs w:val="0"/>
          <w:i w:val="0"/>
          <w:iCs w:val="0"/>
          <w:caps w:val="0"/>
          <w:color w:val="333333"/>
          <w:spacing w:val="0"/>
          <w:sz w:val="32"/>
          <w:szCs w:val="32"/>
          <w:shd w:val="clear" w:fill="FFFFFF"/>
        </w:rPr>
        <w:t>④</w:t>
      </w:r>
      <w:r>
        <w:rPr>
          <w:rFonts w:hint="eastAsia" w:ascii="仿宋_GB2312" w:hAnsi="Times New Roman" w:eastAsia="仿宋_GB2312" w:cs="仿宋_GB2312"/>
          <w:b w:val="0"/>
          <w:bCs w:val="0"/>
          <w:i w:val="0"/>
          <w:iCs w:val="0"/>
          <w:caps w:val="0"/>
          <w:color w:val="333333"/>
          <w:spacing w:val="0"/>
          <w:sz w:val="32"/>
          <w:szCs w:val="32"/>
          <w:shd w:val="clear" w:fill="FFFFFF"/>
        </w:rPr>
        <w:t>对于</w:t>
      </w:r>
      <w:r>
        <w:rPr>
          <w:rFonts w:hint="default" w:ascii="Times New Roman" w:hAnsi="Times New Roman" w:eastAsia="微软雅黑" w:cs="Times New Roman"/>
          <w:b w:val="0"/>
          <w:bCs w:val="0"/>
          <w:i w:val="0"/>
          <w:iCs w:val="0"/>
          <w:caps w:val="0"/>
          <w:color w:val="333333"/>
          <w:spacing w:val="0"/>
          <w:sz w:val="32"/>
          <w:szCs w:val="32"/>
          <w:shd w:val="clear" w:fill="FFFFFF"/>
        </w:rPr>
        <w:t>“</w:t>
      </w:r>
      <w:r>
        <w:rPr>
          <w:rFonts w:hint="eastAsia" w:ascii="仿宋_GB2312" w:hAnsi="Times New Roman" w:eastAsia="仿宋_GB2312" w:cs="仿宋_GB2312"/>
          <w:b w:val="0"/>
          <w:bCs w:val="0"/>
          <w:i w:val="0"/>
          <w:iCs w:val="0"/>
          <w:caps w:val="0"/>
          <w:color w:val="333333"/>
          <w:spacing w:val="0"/>
          <w:sz w:val="32"/>
          <w:szCs w:val="32"/>
          <w:shd w:val="clear" w:fill="FFFFFF"/>
        </w:rPr>
        <w:t>一地多企</w:t>
      </w:r>
      <w:r>
        <w:rPr>
          <w:rFonts w:hint="default" w:ascii="Times New Roman" w:hAnsi="Times New Roman" w:eastAsia="微软雅黑" w:cs="Times New Roman"/>
          <w:b w:val="0"/>
          <w:bCs w:val="0"/>
          <w:i w:val="0"/>
          <w:iCs w:val="0"/>
          <w:caps w:val="0"/>
          <w:color w:val="333333"/>
          <w:spacing w:val="0"/>
          <w:sz w:val="32"/>
          <w:szCs w:val="32"/>
          <w:shd w:val="clear" w:fill="FFFFFF"/>
        </w:rPr>
        <w:t>”</w:t>
      </w:r>
      <w:r>
        <w:rPr>
          <w:rFonts w:hint="eastAsia" w:ascii="仿宋_GB2312" w:hAnsi="Times New Roman" w:eastAsia="仿宋_GB2312" w:cs="仿宋_GB2312"/>
          <w:b w:val="0"/>
          <w:bCs w:val="0"/>
          <w:i w:val="0"/>
          <w:iCs w:val="0"/>
          <w:caps w:val="0"/>
          <w:color w:val="333333"/>
          <w:spacing w:val="0"/>
          <w:sz w:val="32"/>
          <w:szCs w:val="32"/>
          <w:shd w:val="clear" w:fill="FFFFFF"/>
        </w:rPr>
        <w:t>，对参评独立法人企业单独进行评价，用地面积分割计算。</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left"/>
        <w:rPr>
          <w:rFonts w:hint="eastAsia" w:ascii="微软雅黑" w:hAnsi="微软雅黑" w:eastAsia="微软雅黑" w:cs="微软雅黑"/>
          <w:i w:val="0"/>
          <w:iCs w:val="0"/>
          <w:caps w:val="0"/>
          <w:color w:val="333333"/>
          <w:spacing w:val="0"/>
          <w:sz w:val="21"/>
          <w:szCs w:val="21"/>
        </w:rPr>
      </w:pPr>
      <w:r>
        <w:rPr>
          <w:rFonts w:hint="default" w:ascii="楷体_GB2312" w:hAnsi="微软雅黑" w:eastAsia="楷体_GB2312" w:cs="楷体_GB2312"/>
          <w:b/>
          <w:bCs/>
          <w:i w:val="0"/>
          <w:iCs w:val="0"/>
          <w:caps w:val="0"/>
          <w:color w:val="333333"/>
          <w:spacing w:val="0"/>
          <w:kern w:val="0"/>
          <w:sz w:val="32"/>
          <w:szCs w:val="32"/>
          <w:shd w:val="clear" w:fill="FFFFFF"/>
          <w:lang w:val="en-US" w:eastAsia="zh-CN" w:bidi="ar"/>
        </w:rPr>
        <w:t>2</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亩均税收【单位</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万元</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亩均税收</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总税收</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用地面积。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总税收：包括企业申报入库税款、查补税款、代收（代扣）代缴税款，其中，企业享受的税收减免、出口退免税视同企业实缴税额。</w:t>
      </w:r>
      <w:r>
        <w:rPr>
          <w:rFonts w:hint="eastAsia" w:ascii="仿宋_GB2312" w:hAnsi="Times New Roman" w:eastAsia="仿宋_GB2312" w:cs="仿宋_GB2312"/>
          <w:i w:val="0"/>
          <w:iCs w:val="0"/>
          <w:caps w:val="0"/>
          <w:color w:val="333333"/>
          <w:spacing w:val="0"/>
          <w:kern w:val="0"/>
          <w:sz w:val="32"/>
          <w:szCs w:val="32"/>
          <w:shd w:val="clear" w:fill="FFFFFF"/>
          <w:lang w:val="en-US" w:eastAsia="zh-CN" w:bidi="ar"/>
        </w:rPr>
        <w:t>根据上级政策变化等原因，适时调整。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left"/>
        <w:rPr>
          <w:rFonts w:hint="eastAsia" w:ascii="微软雅黑" w:hAnsi="微软雅黑" w:eastAsia="微软雅黑" w:cs="微软雅黑"/>
          <w:i w:val="0"/>
          <w:iCs w:val="0"/>
          <w:caps w:val="0"/>
          <w:color w:val="333333"/>
          <w:spacing w:val="0"/>
          <w:sz w:val="21"/>
          <w:szCs w:val="21"/>
        </w:rPr>
      </w:pP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3.</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单位能耗营业收入【单位</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万元</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吨标准煤（等价值）】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单位能耗营业收入</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总营业收入</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综合能源消费量（等价值）。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综合能源消费量（等价值）：指企业生产和非生产活动消耗的能源总量（等价值）。工业生产活动消耗能源包括作为燃料、动力、原料、辅助材料使用的能源，以及生产工艺中使用的能源。</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left"/>
        <w:rPr>
          <w:rFonts w:hint="eastAsia" w:ascii="微软雅黑" w:hAnsi="微软雅黑" w:eastAsia="微软雅黑" w:cs="微软雅黑"/>
          <w:i w:val="0"/>
          <w:iCs w:val="0"/>
          <w:caps w:val="0"/>
          <w:color w:val="333333"/>
          <w:spacing w:val="0"/>
          <w:sz w:val="21"/>
          <w:szCs w:val="21"/>
        </w:rPr>
      </w:pP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4.</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亩均技术改造投资【单位：万元</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亩】</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i w:val="0"/>
          <w:iCs w:val="0"/>
          <w:caps w:val="0"/>
          <w:color w:val="333333"/>
          <w:spacing w:val="0"/>
          <w:kern w:val="0"/>
          <w:sz w:val="32"/>
          <w:szCs w:val="32"/>
          <w:shd w:val="clear" w:fill="FFFFFF"/>
          <w:lang w:val="en-US" w:eastAsia="zh-CN" w:bidi="ar"/>
        </w:rPr>
        <w:t>亩均技术改造投资</w:t>
      </w:r>
      <w:r>
        <w:rPr>
          <w:rFonts w:hint="default" w:ascii="Times New Roman" w:hAnsi="Times New Roman" w:eastAsia="微软雅黑" w:cs="Times New Roman"/>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333333"/>
          <w:spacing w:val="0"/>
          <w:kern w:val="0"/>
          <w:sz w:val="32"/>
          <w:szCs w:val="32"/>
          <w:shd w:val="clear" w:fill="FFFFFF"/>
          <w:lang w:val="en-US" w:eastAsia="zh-CN" w:bidi="ar"/>
        </w:rPr>
        <w:t>企业技术改造投入资金</w:t>
      </w:r>
      <w:r>
        <w:rPr>
          <w:rFonts w:hint="default" w:ascii="Times New Roman" w:hAnsi="Times New Roman" w:eastAsia="微软雅黑" w:cs="Times New Roman"/>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333333"/>
          <w:spacing w:val="0"/>
          <w:kern w:val="0"/>
          <w:sz w:val="32"/>
          <w:szCs w:val="32"/>
          <w:shd w:val="clear" w:fill="FFFFFF"/>
          <w:lang w:val="en-US" w:eastAsia="zh-CN" w:bidi="ar"/>
        </w:rPr>
        <w:t>用地面积。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i w:val="0"/>
          <w:iCs w:val="0"/>
          <w:caps w:val="0"/>
          <w:color w:val="333333"/>
          <w:spacing w:val="0"/>
          <w:kern w:val="0"/>
          <w:sz w:val="32"/>
          <w:szCs w:val="32"/>
          <w:shd w:val="clear" w:fill="FFFFFF"/>
          <w:lang w:val="en-US" w:eastAsia="zh-CN" w:bidi="ar"/>
        </w:rPr>
        <w:t>技术改造投入资金：指企业纳入技改投资统计的资金。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left"/>
        <w:rPr>
          <w:rFonts w:hint="eastAsia" w:ascii="微软雅黑" w:hAnsi="微软雅黑" w:eastAsia="微软雅黑" w:cs="微软雅黑"/>
          <w:i w:val="0"/>
          <w:iCs w:val="0"/>
          <w:caps w:val="0"/>
          <w:color w:val="333333"/>
          <w:spacing w:val="0"/>
          <w:sz w:val="21"/>
          <w:szCs w:val="21"/>
        </w:rPr>
      </w:pP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5.</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全员劳动生产率【单位：万元</w:t>
      </w:r>
      <w:r>
        <w:rPr>
          <w:rFonts w:hint="default" w:ascii="Times New Roman" w:hAnsi="Times New Roman" w:eastAsia="微软雅黑" w:cs="Times New Roman"/>
          <w:b/>
          <w:bCs/>
          <w:i w:val="0"/>
          <w:iCs w:val="0"/>
          <w:caps w:val="0"/>
          <w:color w:val="333333"/>
          <w:spacing w:val="0"/>
          <w:kern w:val="0"/>
          <w:sz w:val="32"/>
          <w:szCs w:val="32"/>
          <w:shd w:val="clear" w:fill="FFFFFF"/>
          <w:lang w:val="en-US" w:eastAsia="zh-CN" w:bidi="ar"/>
        </w:rPr>
        <w:t>/</w:t>
      </w:r>
      <w:r>
        <w:rPr>
          <w:rFonts w:hint="default" w:ascii="楷体_GB2312" w:hAnsi="Times New Roman" w:eastAsia="楷体_GB2312" w:cs="楷体_GB2312"/>
          <w:b/>
          <w:bCs/>
          <w:i w:val="0"/>
          <w:iCs w:val="0"/>
          <w:caps w:val="0"/>
          <w:color w:val="333333"/>
          <w:spacing w:val="0"/>
          <w:kern w:val="0"/>
          <w:sz w:val="32"/>
          <w:szCs w:val="32"/>
          <w:shd w:val="clear" w:fill="FFFFFF"/>
          <w:lang w:val="en-US" w:eastAsia="zh-CN" w:bidi="ar"/>
        </w:rPr>
        <w:t>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33333"/>
          <w:spacing w:val="0"/>
          <w:sz w:val="21"/>
          <w:szCs w:val="21"/>
        </w:rPr>
      </w:pP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全员劳动生产率</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工业增加值（现价）</w:t>
      </w:r>
      <w:r>
        <w:rPr>
          <w:rFonts w:hint="default" w:ascii="Times New Roman" w:hAnsi="Times New Roman" w:eastAsia="微软雅黑" w:cs="Times New Roman"/>
          <w:b w:val="0"/>
          <w:bCs w:val="0"/>
          <w:i w:val="0"/>
          <w:iCs w:val="0"/>
          <w:caps w:val="0"/>
          <w:color w:val="333333"/>
          <w:spacing w:val="0"/>
          <w:kern w:val="0"/>
          <w:sz w:val="32"/>
          <w:szCs w:val="32"/>
          <w:shd w:val="clear" w:fill="FFFFFF"/>
          <w:lang w:val="en-US" w:eastAsia="zh-CN" w:bidi="ar"/>
        </w:rPr>
        <w:t>/</w:t>
      </w:r>
      <w:r>
        <w:rPr>
          <w:rFonts w:hint="eastAsia" w:ascii="仿宋_GB2312" w:hAnsi="Times New Roman" w:eastAsia="仿宋_GB2312" w:cs="仿宋_GB2312"/>
          <w:b w:val="0"/>
          <w:bCs w:val="0"/>
          <w:i w:val="0"/>
          <w:iCs w:val="0"/>
          <w:caps w:val="0"/>
          <w:color w:val="333333"/>
          <w:spacing w:val="0"/>
          <w:kern w:val="0"/>
          <w:sz w:val="32"/>
          <w:szCs w:val="32"/>
          <w:shd w:val="clear" w:fill="FFFFFF"/>
          <w:lang w:val="en-US" w:eastAsia="zh-CN" w:bidi="ar"/>
        </w:rPr>
        <w:t>年平均职工人数。</w:t>
      </w:r>
    </w:p>
    <w:p/>
    <w:p>
      <w:pPr>
        <w:pStyle w:val="2"/>
        <w:rPr>
          <w:rFonts w:hint="eastAsia"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9DDB00"/>
    <w:multiLevelType w:val="singleLevel"/>
    <w:tmpl w:val="B19DDB0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9730C"/>
    <w:rsid w:val="065C5BB7"/>
    <w:rsid w:val="12760616"/>
    <w:rsid w:val="1EAE345F"/>
    <w:rsid w:val="283E5534"/>
    <w:rsid w:val="29D86970"/>
    <w:rsid w:val="4D0F5913"/>
    <w:rsid w:val="4FDD6ABC"/>
    <w:rsid w:val="4FE9185A"/>
    <w:rsid w:val="50F64E24"/>
    <w:rsid w:val="5B507285"/>
    <w:rsid w:val="6E405F62"/>
    <w:rsid w:val="FE5B2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qFormat/>
    <w:uiPriority w:val="0"/>
    <w:pPr>
      <w:spacing w:after="120"/>
    </w:pPr>
    <w:rPr>
      <w:rFonts w:ascii="Calibri" w:hAnsi="Calibri"/>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2021-11-18T10:11:00Z</dcterms:created>
  <dc:creator>Administrator</dc:creator>
  <cp:lastModifiedBy>琦琦王</cp:lastModifiedBy>
  <cp:lastPrinted>2021-11-22T10:45:00Z</cp:lastPrinted>
  <dcterms:modified xsi:type="dcterms:W3CDTF">2021-11-22T08:44:29Z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F6C3C24699F94CD3B48806E76B1A33C6</vt:lpwstr>
  </property>
</Properties>
</file>