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E0E44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rPr>
      </w:pPr>
      <w:bookmarkStart w:id="0" w:name="_GoBack"/>
      <w:bookmarkEnd w:id="0"/>
      <w:r>
        <w:rPr>
          <w:rFonts w:hint="default" w:ascii="Times New Roman" w:hAnsi="Times New Roman" w:eastAsia="方正小标宋简体" w:cs="Times New Roman"/>
          <w:sz w:val="44"/>
          <w:szCs w:val="44"/>
        </w:rPr>
        <w:t>池州市商业航天产业高质量发展</w:t>
      </w:r>
    </w:p>
    <w:p w14:paraId="394496E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rPr>
        <w:t>三年行动方案（2024-2026）</w:t>
      </w:r>
      <w:r>
        <w:rPr>
          <w:rFonts w:hint="default" w:ascii="Times New Roman" w:hAnsi="Times New Roman" w:eastAsia="方正小标宋简体" w:cs="Times New Roman"/>
          <w:sz w:val="44"/>
          <w:szCs w:val="44"/>
          <w:lang w:val="en-US" w:eastAsia="zh-CN"/>
        </w:rPr>
        <w:t>(征求意见稿）</w:t>
      </w:r>
    </w:p>
    <w:p w14:paraId="6F5A8078">
      <w:pPr>
        <w:spacing w:line="600" w:lineRule="exact"/>
        <w:ind w:firstLine="640" w:firstLineChars="200"/>
        <w:rPr>
          <w:rFonts w:hint="default" w:ascii="Times New Roman" w:hAnsi="Times New Roman" w:eastAsia="仿宋" w:cs="Times New Roman"/>
          <w:sz w:val="32"/>
          <w:szCs w:val="32"/>
        </w:rPr>
      </w:pPr>
    </w:p>
    <w:p w14:paraId="5E7D8C2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为加快推进池州市商业航天产业高质量发展，抢抓商业航天发展战略机遇，构建池州市商业航天产业体系，建设商业航天创新高地，加快发展新质生产力，特制定本</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行动方案</w:t>
      </w:r>
      <w:r>
        <w:rPr>
          <w:rFonts w:hint="default" w:ascii="Times New Roman" w:hAnsi="Times New Roman" w:eastAsia="仿宋_GB2312" w:cs="Times New Roman"/>
          <w:snapToGrid w:val="0"/>
          <w:color w:val="auto"/>
          <w:sz w:val="32"/>
          <w:szCs w:val="32"/>
          <w:highlight w:val="none"/>
          <w:lang w:val="en-US" w:eastAsia="zh-CN"/>
        </w:rPr>
        <w:t>（征求意见稿）</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sz w:val="32"/>
          <w:szCs w:val="32"/>
          <w:lang w:eastAsia="zh-CN"/>
        </w:rPr>
        <w:t>。</w:t>
      </w:r>
    </w:p>
    <w:p w14:paraId="6DDDAFF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rPr>
        <w:t>一、总体</w:t>
      </w:r>
      <w:r>
        <w:rPr>
          <w:rFonts w:hint="default" w:ascii="Times New Roman" w:hAnsi="Times New Roman" w:eastAsia="黑体" w:cs="Times New Roman"/>
          <w:sz w:val="32"/>
          <w:szCs w:val="32"/>
          <w:lang w:eastAsia="zh-CN"/>
        </w:rPr>
        <w:t>要求</w:t>
      </w:r>
    </w:p>
    <w:p w14:paraId="0A99C88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仿宋_GB2312" w:cs="Times New Roman"/>
          <w:sz w:val="32"/>
          <w:szCs w:val="32"/>
        </w:rPr>
        <w:t>以习近平新时代中国特色社会主义思想为指导，全面贯彻党的二十大和二十届三中全会精神</w:t>
      </w:r>
      <w:r>
        <w:rPr>
          <w:rFonts w:hint="default" w:ascii="Times New Roman" w:hAnsi="Times New Roman" w:eastAsia="仿宋_GB2312" w:cs="Times New Roman"/>
          <w:sz w:val="32"/>
          <w:szCs w:val="32"/>
          <w:lang w:eastAsia="zh-CN"/>
        </w:rPr>
        <w:t>，认真落实党中央、国务院关于加快培育发展商业航天决策部署及省委、省政府有关要求</w:t>
      </w:r>
      <w:r>
        <w:rPr>
          <w:rFonts w:hint="default" w:ascii="Times New Roman" w:hAnsi="Times New Roman" w:cs="Times New Roman"/>
          <w:sz w:val="32"/>
          <w:szCs w:val="32"/>
          <w:lang w:eastAsia="zh-CN"/>
        </w:rPr>
        <w:t>，</w:t>
      </w:r>
      <w:r>
        <w:rPr>
          <w:rFonts w:hint="default" w:ascii="Times New Roman" w:hAnsi="Times New Roman" w:eastAsia="仿宋_GB2312" w:cs="Times New Roman"/>
          <w:sz w:val="32"/>
          <w:szCs w:val="32"/>
          <w:lang w:eastAsia="zh-CN"/>
        </w:rPr>
        <w:t>坚持高位统筹、系统谋划、前瞻布局</w:t>
      </w:r>
      <w:r>
        <w:rPr>
          <w:rFonts w:hint="default" w:ascii="Times New Roman" w:hAnsi="Times New Roman" w:cs="Times New Roman"/>
          <w:sz w:val="32"/>
          <w:szCs w:val="32"/>
          <w:lang w:eastAsia="zh-CN"/>
        </w:rPr>
        <w:t>，聚焦航空航天先进材料、关键元器件、火箭研发制造、总装测试等核心环节，推动池州市商业航天高质量集聚发展，加快形成航天产业发展特色和核心竞争力。</w:t>
      </w:r>
    </w:p>
    <w:p w14:paraId="714BFD1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rPr>
        <w:t>二、</w:t>
      </w:r>
      <w:r>
        <w:rPr>
          <w:rFonts w:hint="default" w:ascii="Times New Roman" w:hAnsi="Times New Roman" w:eastAsia="黑体" w:cs="Times New Roman"/>
          <w:sz w:val="32"/>
          <w:szCs w:val="32"/>
          <w:lang w:eastAsia="zh-CN"/>
        </w:rPr>
        <w:t>行动目标</w:t>
      </w:r>
    </w:p>
    <w:p w14:paraId="795D50DB">
      <w:pPr>
        <w:keepNext w:val="0"/>
        <w:keepLines w:val="0"/>
        <w:pageBreakBefore w:val="0"/>
        <w:widowControl/>
        <w:kinsoku/>
        <w:wordWrap/>
        <w:overflowPunct/>
        <w:topLinePunct w:val="0"/>
        <w:autoSpaceDE/>
        <w:autoSpaceDN/>
        <w:bidi w:val="0"/>
        <w:adjustRightInd/>
        <w:snapToGrid/>
        <w:spacing w:after="0" w:line="600" w:lineRule="exact"/>
        <w:ind w:left="0" w:righ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力争用三年时间，打造</w:t>
      </w:r>
      <w:r>
        <w:rPr>
          <w:rFonts w:hint="default" w:ascii="Times New Roman" w:hAnsi="Times New Roman" w:eastAsia="仿宋_GB2312" w:cs="Times New Roman"/>
          <w:sz w:val="32"/>
          <w:szCs w:val="32"/>
        </w:rPr>
        <w:t>以皖江江南新兴产业集中区为</w:t>
      </w:r>
      <w:r>
        <w:rPr>
          <w:rFonts w:hint="default" w:ascii="Times New Roman" w:hAnsi="Times New Roman" w:cs="Times New Roman"/>
          <w:sz w:val="32"/>
          <w:szCs w:val="32"/>
          <w:lang w:eastAsia="zh-CN"/>
        </w:rPr>
        <w:t>池州市</w:t>
      </w:r>
      <w:r>
        <w:rPr>
          <w:rFonts w:hint="default" w:ascii="Times New Roman" w:hAnsi="Times New Roman" w:eastAsia="仿宋_GB2312" w:cs="Times New Roman"/>
          <w:sz w:val="32"/>
          <w:szCs w:val="32"/>
        </w:rPr>
        <w:t>商业航天主要承载区、</w:t>
      </w:r>
      <w:r>
        <w:rPr>
          <w:rFonts w:hint="default" w:ascii="Times New Roman" w:hAnsi="Times New Roman" w:cs="Times New Roman"/>
          <w:sz w:val="32"/>
          <w:szCs w:val="32"/>
          <w:lang w:eastAsia="zh-CN"/>
        </w:rPr>
        <w:t>火</w:t>
      </w:r>
      <w:r>
        <w:rPr>
          <w:rFonts w:hint="default" w:ascii="Times New Roman" w:hAnsi="Times New Roman" w:eastAsia="仿宋_GB2312" w:cs="Times New Roman"/>
          <w:sz w:val="32"/>
          <w:szCs w:val="32"/>
        </w:rPr>
        <w:t>箭研发制造总装测试一体化的</w:t>
      </w:r>
      <w:r>
        <w:rPr>
          <w:rFonts w:hint="default" w:ascii="Times New Roman" w:hAnsi="Times New Roman" w:cs="Times New Roman"/>
          <w:sz w:val="32"/>
          <w:szCs w:val="32"/>
          <w:lang w:eastAsia="zh-CN"/>
        </w:rPr>
        <w:t>池州</w:t>
      </w:r>
      <w:r>
        <w:rPr>
          <w:rFonts w:hint="default" w:ascii="Times New Roman" w:hAnsi="Times New Roman" w:eastAsia="仿宋_GB2312" w:cs="Times New Roman"/>
          <w:sz w:val="32"/>
          <w:szCs w:val="32"/>
        </w:rPr>
        <w:t>商业航天</w:t>
      </w:r>
      <w:r>
        <w:rPr>
          <w:rFonts w:hint="default" w:ascii="Times New Roman" w:hAnsi="Times New Roman" w:cs="Times New Roman"/>
          <w:sz w:val="32"/>
          <w:szCs w:val="32"/>
          <w:lang w:eastAsia="zh-CN"/>
        </w:rPr>
        <w:t>智能制造</w:t>
      </w:r>
      <w:r>
        <w:rPr>
          <w:rFonts w:hint="default" w:ascii="Times New Roman" w:hAnsi="Times New Roman" w:eastAsia="仿宋_GB2312" w:cs="Times New Roman"/>
          <w:sz w:val="32"/>
          <w:szCs w:val="32"/>
        </w:rPr>
        <w:t>产业园</w:t>
      </w:r>
      <w:r>
        <w:rPr>
          <w:rFonts w:hint="default" w:ascii="Times New Roman" w:hAnsi="Times New Roman" w:cs="Times New Roman"/>
          <w:sz w:val="32"/>
          <w:szCs w:val="32"/>
          <w:lang w:val="en-US" w:eastAsia="zh-CN"/>
        </w:rPr>
        <w:t>。到2026年，</w:t>
      </w:r>
      <w:r>
        <w:rPr>
          <w:rFonts w:hint="default" w:ascii="Times New Roman" w:hAnsi="Times New Roman" w:eastAsia="仿宋_GB2312" w:cs="Times New Roman"/>
          <w:sz w:val="32"/>
          <w:szCs w:val="32"/>
          <w:lang w:eastAsia="zh-CN"/>
        </w:rPr>
        <w:t>全市商业航天产业规模达到</w:t>
      </w:r>
      <w:r>
        <w:rPr>
          <w:rFonts w:hint="default" w:ascii="Times New Roman" w:hAnsi="Times New Roman" w:eastAsia="仿宋_GB2312" w:cs="Times New Roman"/>
          <w:sz w:val="32"/>
          <w:szCs w:val="32"/>
          <w:lang w:val="en-US" w:eastAsia="zh-CN"/>
        </w:rPr>
        <w:t>50亿元</w:t>
      </w:r>
      <w:r>
        <w:rPr>
          <w:rFonts w:hint="default" w:ascii="Times New Roman" w:hAnsi="Times New Roman" w:cs="Times New Roman"/>
          <w:sz w:val="32"/>
          <w:szCs w:val="32"/>
          <w:lang w:val="en-US" w:eastAsia="zh-CN"/>
        </w:rPr>
        <w:t>，</w:t>
      </w:r>
      <w:r>
        <w:rPr>
          <w:rFonts w:hint="default" w:ascii="Times New Roman" w:hAnsi="Times New Roman" w:eastAsia="仿宋_GB2312" w:cs="Times New Roman"/>
          <w:sz w:val="32"/>
          <w:szCs w:val="32"/>
        </w:rPr>
        <w:t>引进和培育</w:t>
      </w:r>
      <w:r>
        <w:rPr>
          <w:rFonts w:hint="default" w:ascii="Times New Roman" w:hAnsi="Times New Roman" w:cs="Times New Roman"/>
          <w:sz w:val="32"/>
          <w:szCs w:val="32"/>
          <w:lang w:val="en-US" w:eastAsia="zh-CN"/>
        </w:rPr>
        <w:t>5</w:t>
      </w:r>
      <w:r>
        <w:rPr>
          <w:rFonts w:hint="default" w:ascii="Times New Roman" w:hAnsi="Times New Roman" w:eastAsia="仿宋_GB2312" w:cs="Times New Roman"/>
          <w:sz w:val="32"/>
          <w:szCs w:val="32"/>
        </w:rPr>
        <w:t>家以上产业链头部领军企业，支持10家以上供应链重点企业做大做强</w:t>
      </w:r>
      <w:r>
        <w:rPr>
          <w:rFonts w:hint="default" w:ascii="Times New Roman" w:hAnsi="Times New Roman" w:cs="Times New Roman"/>
          <w:sz w:val="32"/>
          <w:szCs w:val="32"/>
          <w:lang w:eastAsia="zh-CN"/>
        </w:rPr>
        <w:t>，</w:t>
      </w:r>
      <w:r>
        <w:rPr>
          <w:rFonts w:hint="default" w:ascii="Times New Roman" w:hAnsi="Times New Roman" w:eastAsia="仿宋_GB2312" w:cs="Times New Roman"/>
          <w:sz w:val="32"/>
          <w:szCs w:val="32"/>
        </w:rPr>
        <w:t>推动一批创新型企业实现规模和效益的倍增发展，形成企业聚集化、产业集群化发展态势。</w:t>
      </w:r>
    </w:p>
    <w:p w14:paraId="13FE4873">
      <w:pPr>
        <w:bidi w:val="0"/>
        <w:rPr>
          <w:rFonts w:hint="default" w:ascii="Times New Roman" w:hAnsi="Times New Roman" w:cs="Times New Roman"/>
        </w:rPr>
      </w:pPr>
    </w:p>
    <w:p w14:paraId="7D28A661">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方正小标宋简体" w:cs="Times New Roman"/>
          <w:sz w:val="32"/>
          <w:szCs w:val="32"/>
          <w:lang w:eastAsia="zh-CN"/>
        </w:rPr>
      </w:pPr>
      <w:r>
        <w:rPr>
          <w:rFonts w:hint="default" w:ascii="Times New Roman" w:hAnsi="Times New Roman" w:eastAsia="方正小标宋简体" w:cs="Times New Roman"/>
          <w:sz w:val="32"/>
          <w:szCs w:val="32"/>
        </w:rPr>
        <w:t>池州市商业航天产业</w:t>
      </w:r>
      <w:r>
        <w:rPr>
          <w:rFonts w:hint="default" w:ascii="Times New Roman" w:hAnsi="Times New Roman" w:eastAsia="方正小标宋简体" w:cs="Times New Roman"/>
          <w:sz w:val="32"/>
          <w:szCs w:val="32"/>
          <w:lang w:eastAsia="zh-CN"/>
        </w:rPr>
        <w:t>发展主要预期目标一览表</w:t>
      </w:r>
    </w:p>
    <w:tbl>
      <w:tblPr>
        <w:tblStyle w:val="10"/>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5"/>
        <w:gridCol w:w="2738"/>
        <w:gridCol w:w="836"/>
        <w:gridCol w:w="1162"/>
        <w:gridCol w:w="1162"/>
        <w:gridCol w:w="1162"/>
      </w:tblGrid>
      <w:tr w14:paraId="15D8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Align w:val="center"/>
          </w:tcPr>
          <w:p w14:paraId="4AC542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24"/>
                <w:szCs w:val="24"/>
                <w:vertAlign w:val="baseline"/>
                <w:lang w:eastAsia="zh-CN"/>
              </w:rPr>
            </w:pPr>
            <w:r>
              <w:rPr>
                <w:rFonts w:hint="default" w:ascii="Times New Roman" w:hAnsi="Times New Roman" w:eastAsia="黑体" w:cs="Times New Roman"/>
                <w:sz w:val="24"/>
                <w:szCs w:val="24"/>
                <w:vertAlign w:val="baseline"/>
                <w:lang w:eastAsia="zh-CN"/>
              </w:rPr>
              <w:t>类别</w:t>
            </w:r>
          </w:p>
        </w:tc>
        <w:tc>
          <w:tcPr>
            <w:tcW w:w="2738" w:type="dxa"/>
            <w:vAlign w:val="center"/>
          </w:tcPr>
          <w:p w14:paraId="30185D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24"/>
                <w:szCs w:val="24"/>
                <w:vertAlign w:val="baseline"/>
                <w:lang w:eastAsia="zh-CN"/>
              </w:rPr>
            </w:pPr>
            <w:r>
              <w:rPr>
                <w:rFonts w:hint="default" w:ascii="Times New Roman" w:hAnsi="Times New Roman" w:eastAsia="黑体" w:cs="Times New Roman"/>
                <w:sz w:val="24"/>
                <w:szCs w:val="24"/>
                <w:vertAlign w:val="baseline"/>
                <w:lang w:eastAsia="zh-CN"/>
              </w:rPr>
              <w:t>指标名称</w:t>
            </w:r>
          </w:p>
        </w:tc>
        <w:tc>
          <w:tcPr>
            <w:tcW w:w="836" w:type="dxa"/>
            <w:vAlign w:val="center"/>
          </w:tcPr>
          <w:p w14:paraId="6333C0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单位</w:t>
            </w:r>
          </w:p>
        </w:tc>
        <w:tc>
          <w:tcPr>
            <w:tcW w:w="1162" w:type="dxa"/>
            <w:vAlign w:val="center"/>
          </w:tcPr>
          <w:p w14:paraId="7DDDBD7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2024年</w:t>
            </w:r>
          </w:p>
        </w:tc>
        <w:tc>
          <w:tcPr>
            <w:tcW w:w="1162" w:type="dxa"/>
            <w:vAlign w:val="center"/>
          </w:tcPr>
          <w:p w14:paraId="18161E6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2025年</w:t>
            </w:r>
          </w:p>
        </w:tc>
        <w:tc>
          <w:tcPr>
            <w:tcW w:w="1162" w:type="dxa"/>
            <w:vAlign w:val="center"/>
          </w:tcPr>
          <w:p w14:paraId="5314756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24"/>
                <w:szCs w:val="24"/>
                <w:vertAlign w:val="baseline"/>
                <w:lang w:val="en-US" w:eastAsia="zh-CN"/>
              </w:rPr>
            </w:pPr>
            <w:r>
              <w:rPr>
                <w:rFonts w:hint="default" w:ascii="Times New Roman" w:hAnsi="Times New Roman" w:eastAsia="黑体" w:cs="Times New Roman"/>
                <w:sz w:val="24"/>
                <w:szCs w:val="24"/>
                <w:vertAlign w:val="baseline"/>
                <w:lang w:val="en-US" w:eastAsia="zh-CN"/>
              </w:rPr>
              <w:t>2026年</w:t>
            </w:r>
          </w:p>
        </w:tc>
      </w:tr>
      <w:tr w14:paraId="309CD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Align w:val="center"/>
          </w:tcPr>
          <w:p w14:paraId="1F5F81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产业规模</w:t>
            </w:r>
          </w:p>
        </w:tc>
        <w:tc>
          <w:tcPr>
            <w:tcW w:w="2738" w:type="dxa"/>
            <w:vAlign w:val="center"/>
          </w:tcPr>
          <w:p w14:paraId="75B49F1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规上工业产值</w:t>
            </w:r>
          </w:p>
        </w:tc>
        <w:tc>
          <w:tcPr>
            <w:tcW w:w="836" w:type="dxa"/>
            <w:vAlign w:val="center"/>
          </w:tcPr>
          <w:p w14:paraId="1F162AB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亿元</w:t>
            </w:r>
          </w:p>
        </w:tc>
        <w:tc>
          <w:tcPr>
            <w:tcW w:w="1162" w:type="dxa"/>
            <w:vAlign w:val="center"/>
          </w:tcPr>
          <w:p w14:paraId="04CDE4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2</w:t>
            </w:r>
          </w:p>
        </w:tc>
        <w:tc>
          <w:tcPr>
            <w:tcW w:w="1162" w:type="dxa"/>
            <w:vAlign w:val="center"/>
          </w:tcPr>
          <w:p w14:paraId="3A73141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10</w:t>
            </w:r>
          </w:p>
        </w:tc>
        <w:tc>
          <w:tcPr>
            <w:tcW w:w="1162" w:type="dxa"/>
            <w:vAlign w:val="center"/>
          </w:tcPr>
          <w:p w14:paraId="73C1FA4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50</w:t>
            </w:r>
          </w:p>
        </w:tc>
      </w:tr>
      <w:tr w14:paraId="79A26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Merge w:val="restart"/>
            <w:vAlign w:val="center"/>
          </w:tcPr>
          <w:p w14:paraId="23C15D3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企业培育</w:t>
            </w:r>
          </w:p>
        </w:tc>
        <w:tc>
          <w:tcPr>
            <w:tcW w:w="2738" w:type="dxa"/>
            <w:vAlign w:val="center"/>
          </w:tcPr>
          <w:p w14:paraId="3CBE105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规上企业数</w:t>
            </w:r>
          </w:p>
        </w:tc>
        <w:tc>
          <w:tcPr>
            <w:tcW w:w="836" w:type="dxa"/>
            <w:vAlign w:val="center"/>
          </w:tcPr>
          <w:p w14:paraId="77BB040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个</w:t>
            </w:r>
          </w:p>
        </w:tc>
        <w:tc>
          <w:tcPr>
            <w:tcW w:w="1162" w:type="dxa"/>
            <w:vAlign w:val="center"/>
          </w:tcPr>
          <w:p w14:paraId="4CAC7A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5</w:t>
            </w:r>
          </w:p>
        </w:tc>
        <w:tc>
          <w:tcPr>
            <w:tcW w:w="1162" w:type="dxa"/>
            <w:vAlign w:val="center"/>
          </w:tcPr>
          <w:p w14:paraId="0E64A47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10</w:t>
            </w:r>
          </w:p>
        </w:tc>
        <w:tc>
          <w:tcPr>
            <w:tcW w:w="1162" w:type="dxa"/>
            <w:vAlign w:val="center"/>
          </w:tcPr>
          <w:p w14:paraId="324378C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15</w:t>
            </w:r>
          </w:p>
        </w:tc>
      </w:tr>
      <w:tr w14:paraId="35943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Merge w:val="continue"/>
            <w:vAlign w:val="center"/>
          </w:tcPr>
          <w:p w14:paraId="1CFFF18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p>
        </w:tc>
        <w:tc>
          <w:tcPr>
            <w:tcW w:w="2738" w:type="dxa"/>
            <w:vAlign w:val="center"/>
          </w:tcPr>
          <w:p w14:paraId="1AFF99F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sz w:val="24"/>
                <w:szCs w:val="24"/>
                <w:lang w:eastAsia="zh-CN"/>
              </w:rPr>
            </w:pPr>
            <w:r>
              <w:rPr>
                <w:rFonts w:hint="default" w:ascii="Times New Roman" w:hAnsi="Times New Roman" w:cs="Times New Roman"/>
                <w:sz w:val="24"/>
                <w:szCs w:val="24"/>
                <w:lang w:eastAsia="zh-CN"/>
              </w:rPr>
              <w:t>亿元以上企业</w:t>
            </w:r>
          </w:p>
        </w:tc>
        <w:tc>
          <w:tcPr>
            <w:tcW w:w="836" w:type="dxa"/>
            <w:vAlign w:val="center"/>
          </w:tcPr>
          <w:p w14:paraId="7C33A8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个</w:t>
            </w:r>
          </w:p>
        </w:tc>
        <w:tc>
          <w:tcPr>
            <w:tcW w:w="1162" w:type="dxa"/>
            <w:vAlign w:val="center"/>
          </w:tcPr>
          <w:p w14:paraId="5C73CAB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w:t>
            </w:r>
          </w:p>
        </w:tc>
        <w:tc>
          <w:tcPr>
            <w:tcW w:w="1162" w:type="dxa"/>
            <w:vAlign w:val="center"/>
          </w:tcPr>
          <w:p w14:paraId="05F13F4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3</w:t>
            </w:r>
          </w:p>
        </w:tc>
        <w:tc>
          <w:tcPr>
            <w:tcW w:w="1162" w:type="dxa"/>
            <w:vAlign w:val="center"/>
          </w:tcPr>
          <w:p w14:paraId="2FAC560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5</w:t>
            </w:r>
          </w:p>
        </w:tc>
      </w:tr>
      <w:tr w14:paraId="399A6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Merge w:val="continue"/>
            <w:vAlign w:val="center"/>
          </w:tcPr>
          <w:p w14:paraId="0FBC0E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p>
        </w:tc>
        <w:tc>
          <w:tcPr>
            <w:tcW w:w="2738" w:type="dxa"/>
            <w:vAlign w:val="center"/>
          </w:tcPr>
          <w:p w14:paraId="1447D9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sz w:val="24"/>
                <w:szCs w:val="24"/>
                <w:vertAlign w:val="baseline"/>
                <w:lang w:eastAsia="zh-CN"/>
              </w:rPr>
            </w:pPr>
            <w:r>
              <w:rPr>
                <w:rFonts w:hint="default" w:ascii="Times New Roman" w:hAnsi="Times New Roman" w:eastAsia="仿宋_GB2312" w:cs="Times New Roman"/>
                <w:sz w:val="24"/>
                <w:szCs w:val="24"/>
              </w:rPr>
              <w:t>省级专精特新</w:t>
            </w:r>
            <w:r>
              <w:rPr>
                <w:rFonts w:hint="default" w:ascii="Times New Roman" w:hAnsi="Times New Roman" w:cs="Times New Roman"/>
                <w:sz w:val="24"/>
                <w:szCs w:val="24"/>
                <w:lang w:eastAsia="zh-CN"/>
              </w:rPr>
              <w:t>企业数</w:t>
            </w:r>
          </w:p>
        </w:tc>
        <w:tc>
          <w:tcPr>
            <w:tcW w:w="836" w:type="dxa"/>
            <w:vAlign w:val="center"/>
          </w:tcPr>
          <w:p w14:paraId="47E5D5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个</w:t>
            </w:r>
          </w:p>
        </w:tc>
        <w:tc>
          <w:tcPr>
            <w:tcW w:w="1162" w:type="dxa"/>
            <w:vAlign w:val="center"/>
          </w:tcPr>
          <w:p w14:paraId="4B275C0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w:t>
            </w:r>
          </w:p>
        </w:tc>
        <w:tc>
          <w:tcPr>
            <w:tcW w:w="1162" w:type="dxa"/>
            <w:vAlign w:val="center"/>
          </w:tcPr>
          <w:p w14:paraId="2E0A3FC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5</w:t>
            </w:r>
          </w:p>
        </w:tc>
        <w:tc>
          <w:tcPr>
            <w:tcW w:w="1162" w:type="dxa"/>
            <w:vAlign w:val="center"/>
          </w:tcPr>
          <w:p w14:paraId="6C6A7F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10</w:t>
            </w:r>
          </w:p>
        </w:tc>
      </w:tr>
      <w:tr w14:paraId="789F0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Merge w:val="continue"/>
            <w:vAlign w:val="center"/>
          </w:tcPr>
          <w:p w14:paraId="4E24F26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p>
        </w:tc>
        <w:tc>
          <w:tcPr>
            <w:tcW w:w="2738" w:type="dxa"/>
            <w:vAlign w:val="center"/>
          </w:tcPr>
          <w:p w14:paraId="565CA2B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sz w:val="24"/>
                <w:szCs w:val="24"/>
                <w:vertAlign w:val="baseline"/>
                <w:lang w:eastAsia="zh-CN"/>
              </w:rPr>
            </w:pPr>
            <w:r>
              <w:rPr>
                <w:rFonts w:hint="default" w:ascii="Times New Roman" w:hAnsi="Times New Roman" w:cs="Times New Roman"/>
                <w:color w:val="000000" w:themeColor="text1"/>
                <w:sz w:val="24"/>
                <w:szCs w:val="24"/>
                <w:lang w:eastAsia="zh-CN"/>
                <w14:textFill>
                  <w14:solidFill>
                    <w14:schemeClr w14:val="tx1"/>
                  </w14:solidFill>
                </w14:textFill>
              </w:rPr>
              <w:t>国家级小巨人企业数</w:t>
            </w:r>
          </w:p>
        </w:tc>
        <w:tc>
          <w:tcPr>
            <w:tcW w:w="836" w:type="dxa"/>
            <w:vAlign w:val="center"/>
          </w:tcPr>
          <w:p w14:paraId="32551DA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个</w:t>
            </w:r>
          </w:p>
        </w:tc>
        <w:tc>
          <w:tcPr>
            <w:tcW w:w="1162" w:type="dxa"/>
            <w:vAlign w:val="center"/>
          </w:tcPr>
          <w:p w14:paraId="1BD068D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0</w:t>
            </w:r>
          </w:p>
        </w:tc>
        <w:tc>
          <w:tcPr>
            <w:tcW w:w="1162" w:type="dxa"/>
            <w:vAlign w:val="center"/>
          </w:tcPr>
          <w:p w14:paraId="70612D4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w:t>
            </w:r>
          </w:p>
        </w:tc>
        <w:tc>
          <w:tcPr>
            <w:tcW w:w="1162" w:type="dxa"/>
            <w:vAlign w:val="center"/>
          </w:tcPr>
          <w:p w14:paraId="05D60A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2</w:t>
            </w:r>
          </w:p>
        </w:tc>
      </w:tr>
      <w:tr w14:paraId="59239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Merge w:val="restart"/>
            <w:vAlign w:val="center"/>
          </w:tcPr>
          <w:p w14:paraId="3CD294C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招商引资</w:t>
            </w:r>
          </w:p>
        </w:tc>
        <w:tc>
          <w:tcPr>
            <w:tcW w:w="2738" w:type="dxa"/>
            <w:vAlign w:val="center"/>
          </w:tcPr>
          <w:p w14:paraId="63F3642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引进项目数</w:t>
            </w:r>
          </w:p>
        </w:tc>
        <w:tc>
          <w:tcPr>
            <w:tcW w:w="836" w:type="dxa"/>
            <w:vAlign w:val="center"/>
          </w:tcPr>
          <w:p w14:paraId="3E5E5F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个</w:t>
            </w:r>
          </w:p>
        </w:tc>
        <w:tc>
          <w:tcPr>
            <w:tcW w:w="1162" w:type="dxa"/>
            <w:vAlign w:val="center"/>
          </w:tcPr>
          <w:p w14:paraId="1166863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5</w:t>
            </w:r>
          </w:p>
        </w:tc>
        <w:tc>
          <w:tcPr>
            <w:tcW w:w="1162" w:type="dxa"/>
            <w:vAlign w:val="center"/>
          </w:tcPr>
          <w:p w14:paraId="630FAD1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10</w:t>
            </w:r>
          </w:p>
        </w:tc>
        <w:tc>
          <w:tcPr>
            <w:tcW w:w="1162" w:type="dxa"/>
            <w:vAlign w:val="center"/>
          </w:tcPr>
          <w:p w14:paraId="46AEED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20</w:t>
            </w:r>
          </w:p>
        </w:tc>
      </w:tr>
      <w:tr w14:paraId="5A656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Merge w:val="continue"/>
            <w:vAlign w:val="center"/>
          </w:tcPr>
          <w:p w14:paraId="7051063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p>
        </w:tc>
        <w:tc>
          <w:tcPr>
            <w:tcW w:w="2738" w:type="dxa"/>
            <w:vAlign w:val="center"/>
          </w:tcPr>
          <w:p w14:paraId="4863206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总投资额</w:t>
            </w:r>
          </w:p>
        </w:tc>
        <w:tc>
          <w:tcPr>
            <w:tcW w:w="836" w:type="dxa"/>
            <w:vAlign w:val="center"/>
          </w:tcPr>
          <w:p w14:paraId="4DBC99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亿元</w:t>
            </w:r>
          </w:p>
        </w:tc>
        <w:tc>
          <w:tcPr>
            <w:tcW w:w="1162" w:type="dxa"/>
            <w:vAlign w:val="center"/>
          </w:tcPr>
          <w:p w14:paraId="69961A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15</w:t>
            </w:r>
          </w:p>
        </w:tc>
        <w:tc>
          <w:tcPr>
            <w:tcW w:w="1162" w:type="dxa"/>
            <w:vAlign w:val="center"/>
          </w:tcPr>
          <w:p w14:paraId="0DE065D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25</w:t>
            </w:r>
          </w:p>
        </w:tc>
        <w:tc>
          <w:tcPr>
            <w:tcW w:w="1162" w:type="dxa"/>
            <w:vAlign w:val="center"/>
          </w:tcPr>
          <w:p w14:paraId="13FF9F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35</w:t>
            </w:r>
          </w:p>
        </w:tc>
      </w:tr>
      <w:tr w14:paraId="642FC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Merge w:val="restart"/>
            <w:vAlign w:val="center"/>
          </w:tcPr>
          <w:p w14:paraId="263C51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项目建设</w:t>
            </w:r>
          </w:p>
        </w:tc>
        <w:tc>
          <w:tcPr>
            <w:tcW w:w="2738" w:type="dxa"/>
            <w:vAlign w:val="center"/>
          </w:tcPr>
          <w:p w14:paraId="67794D3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在建项目数</w:t>
            </w:r>
          </w:p>
        </w:tc>
        <w:tc>
          <w:tcPr>
            <w:tcW w:w="836" w:type="dxa"/>
            <w:vAlign w:val="center"/>
          </w:tcPr>
          <w:p w14:paraId="783C61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个</w:t>
            </w:r>
          </w:p>
        </w:tc>
        <w:tc>
          <w:tcPr>
            <w:tcW w:w="1162" w:type="dxa"/>
            <w:vAlign w:val="center"/>
          </w:tcPr>
          <w:p w14:paraId="1681B1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2</w:t>
            </w:r>
          </w:p>
        </w:tc>
        <w:tc>
          <w:tcPr>
            <w:tcW w:w="1162" w:type="dxa"/>
            <w:vAlign w:val="center"/>
          </w:tcPr>
          <w:p w14:paraId="13C581F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5</w:t>
            </w:r>
          </w:p>
        </w:tc>
        <w:tc>
          <w:tcPr>
            <w:tcW w:w="1162" w:type="dxa"/>
            <w:vAlign w:val="center"/>
          </w:tcPr>
          <w:p w14:paraId="0CF568A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10</w:t>
            </w:r>
          </w:p>
        </w:tc>
      </w:tr>
      <w:tr w14:paraId="591B5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Merge w:val="continue"/>
            <w:vAlign w:val="center"/>
          </w:tcPr>
          <w:p w14:paraId="676114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p>
        </w:tc>
        <w:tc>
          <w:tcPr>
            <w:tcW w:w="2738" w:type="dxa"/>
            <w:vAlign w:val="center"/>
          </w:tcPr>
          <w:p w14:paraId="47CA531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在建项目总投资额</w:t>
            </w:r>
          </w:p>
        </w:tc>
        <w:tc>
          <w:tcPr>
            <w:tcW w:w="836" w:type="dxa"/>
            <w:vAlign w:val="center"/>
          </w:tcPr>
          <w:p w14:paraId="06AB23E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亿元</w:t>
            </w:r>
          </w:p>
        </w:tc>
        <w:tc>
          <w:tcPr>
            <w:tcW w:w="1162" w:type="dxa"/>
            <w:vAlign w:val="center"/>
          </w:tcPr>
          <w:p w14:paraId="0732A8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15</w:t>
            </w:r>
          </w:p>
        </w:tc>
        <w:tc>
          <w:tcPr>
            <w:tcW w:w="1162" w:type="dxa"/>
            <w:vAlign w:val="center"/>
          </w:tcPr>
          <w:p w14:paraId="4FB0F14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25</w:t>
            </w:r>
          </w:p>
        </w:tc>
        <w:tc>
          <w:tcPr>
            <w:tcW w:w="1162" w:type="dxa"/>
            <w:vAlign w:val="center"/>
          </w:tcPr>
          <w:p w14:paraId="487A82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35</w:t>
            </w:r>
          </w:p>
        </w:tc>
      </w:tr>
      <w:tr w14:paraId="7BADE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Merge w:val="restart"/>
            <w:vAlign w:val="center"/>
          </w:tcPr>
          <w:p w14:paraId="6F1820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人才招引</w:t>
            </w:r>
          </w:p>
        </w:tc>
        <w:tc>
          <w:tcPr>
            <w:tcW w:w="2738" w:type="dxa"/>
            <w:vAlign w:val="center"/>
          </w:tcPr>
          <w:p w14:paraId="62AA157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高层次团队数</w:t>
            </w:r>
          </w:p>
        </w:tc>
        <w:tc>
          <w:tcPr>
            <w:tcW w:w="836" w:type="dxa"/>
            <w:vAlign w:val="center"/>
          </w:tcPr>
          <w:p w14:paraId="74F3EB4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个</w:t>
            </w:r>
          </w:p>
        </w:tc>
        <w:tc>
          <w:tcPr>
            <w:tcW w:w="1162" w:type="dxa"/>
            <w:vAlign w:val="center"/>
          </w:tcPr>
          <w:p w14:paraId="3A81F8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w:t>
            </w:r>
          </w:p>
        </w:tc>
        <w:tc>
          <w:tcPr>
            <w:tcW w:w="1162" w:type="dxa"/>
            <w:vAlign w:val="center"/>
          </w:tcPr>
          <w:p w14:paraId="21CC0A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2</w:t>
            </w:r>
          </w:p>
        </w:tc>
        <w:tc>
          <w:tcPr>
            <w:tcW w:w="1162" w:type="dxa"/>
            <w:vAlign w:val="center"/>
          </w:tcPr>
          <w:p w14:paraId="28A3CE9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4</w:t>
            </w:r>
          </w:p>
        </w:tc>
      </w:tr>
      <w:tr w14:paraId="0DB4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Merge w:val="continue"/>
            <w:vAlign w:val="center"/>
          </w:tcPr>
          <w:p w14:paraId="480462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p>
        </w:tc>
        <w:tc>
          <w:tcPr>
            <w:tcW w:w="2738" w:type="dxa"/>
            <w:vAlign w:val="center"/>
          </w:tcPr>
          <w:p w14:paraId="0D45E7B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产业技能人才数</w:t>
            </w:r>
          </w:p>
        </w:tc>
        <w:tc>
          <w:tcPr>
            <w:tcW w:w="836" w:type="dxa"/>
            <w:vAlign w:val="center"/>
          </w:tcPr>
          <w:p w14:paraId="74C33A5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个</w:t>
            </w:r>
          </w:p>
        </w:tc>
        <w:tc>
          <w:tcPr>
            <w:tcW w:w="1162" w:type="dxa"/>
            <w:vAlign w:val="center"/>
          </w:tcPr>
          <w:p w14:paraId="321E2C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100</w:t>
            </w:r>
          </w:p>
        </w:tc>
        <w:tc>
          <w:tcPr>
            <w:tcW w:w="1162" w:type="dxa"/>
            <w:vAlign w:val="center"/>
          </w:tcPr>
          <w:p w14:paraId="53699FD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200</w:t>
            </w:r>
          </w:p>
        </w:tc>
        <w:tc>
          <w:tcPr>
            <w:tcW w:w="1162" w:type="dxa"/>
            <w:vAlign w:val="center"/>
          </w:tcPr>
          <w:p w14:paraId="2BDD447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500</w:t>
            </w:r>
          </w:p>
        </w:tc>
      </w:tr>
      <w:tr w14:paraId="3BB1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65" w:type="dxa"/>
            <w:vMerge w:val="continue"/>
            <w:vAlign w:val="center"/>
          </w:tcPr>
          <w:p w14:paraId="451417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p>
        </w:tc>
        <w:tc>
          <w:tcPr>
            <w:tcW w:w="2738" w:type="dxa"/>
            <w:vAlign w:val="center"/>
          </w:tcPr>
          <w:p w14:paraId="2DF949B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省级以上创新平台数</w:t>
            </w:r>
          </w:p>
        </w:tc>
        <w:tc>
          <w:tcPr>
            <w:tcW w:w="836" w:type="dxa"/>
            <w:vAlign w:val="center"/>
          </w:tcPr>
          <w:p w14:paraId="79A5136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eastAsia="zh-CN"/>
              </w:rPr>
            </w:pPr>
            <w:r>
              <w:rPr>
                <w:rFonts w:hint="default" w:ascii="Times New Roman" w:hAnsi="Times New Roman" w:cs="Times New Roman"/>
                <w:sz w:val="24"/>
                <w:szCs w:val="24"/>
                <w:vertAlign w:val="baseline"/>
                <w:lang w:eastAsia="zh-CN"/>
              </w:rPr>
              <w:t>个</w:t>
            </w:r>
          </w:p>
        </w:tc>
        <w:tc>
          <w:tcPr>
            <w:tcW w:w="1162" w:type="dxa"/>
            <w:vAlign w:val="center"/>
          </w:tcPr>
          <w:p w14:paraId="1BCEFC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0</w:t>
            </w:r>
          </w:p>
        </w:tc>
        <w:tc>
          <w:tcPr>
            <w:tcW w:w="1162" w:type="dxa"/>
            <w:vAlign w:val="center"/>
          </w:tcPr>
          <w:p w14:paraId="0355F5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w:t>
            </w:r>
          </w:p>
        </w:tc>
        <w:tc>
          <w:tcPr>
            <w:tcW w:w="1162" w:type="dxa"/>
            <w:vAlign w:val="center"/>
          </w:tcPr>
          <w:p w14:paraId="25D312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2</w:t>
            </w:r>
          </w:p>
        </w:tc>
      </w:tr>
    </w:tbl>
    <w:p w14:paraId="2D6463B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sz w:val="32"/>
          <w:szCs w:val="32"/>
        </w:rPr>
      </w:pPr>
    </w:p>
    <w:p w14:paraId="3E4F4E9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rPr>
        <w:t>三、重点</w:t>
      </w:r>
      <w:r>
        <w:rPr>
          <w:rFonts w:hint="default" w:ascii="Times New Roman" w:hAnsi="Times New Roman" w:eastAsia="黑体" w:cs="Times New Roman"/>
          <w:sz w:val="32"/>
          <w:szCs w:val="32"/>
          <w:lang w:eastAsia="zh-CN"/>
        </w:rPr>
        <w:t>任务</w:t>
      </w:r>
    </w:p>
    <w:p w14:paraId="54ED554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楷体" w:cs="Times New Roman"/>
          <w:sz w:val="32"/>
          <w:szCs w:val="32"/>
          <w:lang w:eastAsia="zh-CN"/>
        </w:rPr>
      </w:pPr>
      <w:r>
        <w:rPr>
          <w:rFonts w:hint="default" w:ascii="Times New Roman" w:hAnsi="Times New Roman" w:eastAsia="楷体" w:cs="Times New Roman"/>
          <w:sz w:val="32"/>
          <w:szCs w:val="32"/>
          <w:lang w:eastAsia="zh-CN"/>
        </w:rPr>
        <w:t>（一）提升科技创新能力</w:t>
      </w:r>
    </w:p>
    <w:p w14:paraId="4C0F8DD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1.搭建校企联合技术孵化机制。加强与北京航空航天大学、南京航空航天大学等航天院校合作，</w:t>
      </w:r>
      <w:r>
        <w:rPr>
          <w:rFonts w:hint="default" w:ascii="Times New Roman" w:hAnsi="Times New Roman" w:eastAsia="仿宋_GB2312" w:cs="Times New Roman"/>
          <w:sz w:val="32"/>
          <w:szCs w:val="32"/>
        </w:rPr>
        <w:t>通过建立院士工作站、联合实验室等方式，牵头或参与承担国家、</w:t>
      </w:r>
      <w:r>
        <w:rPr>
          <w:rFonts w:hint="default" w:ascii="Times New Roman" w:hAnsi="Times New Roman" w:cs="Times New Roman"/>
          <w:sz w:val="32"/>
          <w:szCs w:val="32"/>
          <w:lang w:eastAsia="zh-CN"/>
        </w:rPr>
        <w:t>省级</w:t>
      </w:r>
      <w:r>
        <w:rPr>
          <w:rFonts w:hint="default" w:ascii="Times New Roman" w:hAnsi="Times New Roman" w:eastAsia="仿宋_GB2312" w:cs="Times New Roman"/>
          <w:sz w:val="32"/>
          <w:szCs w:val="32"/>
        </w:rPr>
        <w:t>科技重大专项，强化产学研用合作对接</w:t>
      </w:r>
      <w:r>
        <w:rPr>
          <w:rFonts w:hint="default" w:ascii="Times New Roman" w:hAnsi="Times New Roman" w:cs="Times New Roman"/>
          <w:sz w:val="32"/>
          <w:szCs w:val="32"/>
          <w:lang w:eastAsia="zh-CN"/>
        </w:rPr>
        <w:t>；</w:t>
      </w:r>
      <w:r>
        <w:rPr>
          <w:rFonts w:hint="default" w:ascii="Times New Roman" w:hAnsi="Times New Roman" w:eastAsia="仿宋_GB2312" w:cs="Times New Roman"/>
          <w:sz w:val="32"/>
          <w:szCs w:val="32"/>
        </w:rPr>
        <w:t>鼓励企业与高校、科研院所实施战略合作，以共建博士后流动站、企业孵化器、众创空间等载体方式，开展产业关键技术研发和产业化示范应用。</w:t>
      </w:r>
    </w:p>
    <w:p w14:paraId="78ABCDE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2.加大科技创新服务平台建设。支持企业依托技术创新中心，建设公共研发平台、验证测试平台、认证平台、工程应用平台等；引导企业联合开展共性关键技术、关键零部件、系统集成等方面协同攻关，推进重大专项技术、重大新产品开发及产业化。</w:t>
      </w:r>
    </w:p>
    <w:p w14:paraId="010B562E">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3.探索行业智库辅助发展模式。联合高校、科研机构等单位成立池州市商业航天研究院，设立商业航天专家委员会，对产业重大决策、重大项目实施和关键技术研发提供智力支持；充分发挥商业航天产业联盟平台作用，坚持政府引导、行业指导和企业主导，推动产业链上下游之间的协作联动。</w:t>
      </w:r>
    </w:p>
    <w:p w14:paraId="3EEAAC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楷体" w:cs="Times New Roman"/>
          <w:sz w:val="32"/>
          <w:szCs w:val="32"/>
          <w:lang w:eastAsia="zh-CN"/>
        </w:rPr>
      </w:pPr>
      <w:r>
        <w:rPr>
          <w:rFonts w:hint="default" w:ascii="Times New Roman" w:hAnsi="Times New Roman" w:eastAsia="楷体" w:cs="Times New Roman"/>
          <w:sz w:val="32"/>
          <w:szCs w:val="32"/>
          <w:lang w:eastAsia="zh-CN"/>
        </w:rPr>
        <w:t>（二）深化产业空间布局</w:t>
      </w:r>
    </w:p>
    <w:p w14:paraId="66CD668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4.提升火箭及发动机研制能力。皖江江南新兴产业集中区围绕液体火箭总装总测、可重复使用火箭发动机研发、制造，推动火箭研发、制造、总装、测试一体化建设，着力提升商业火箭智能制造、试验验证和运营维护能力。</w:t>
      </w:r>
    </w:p>
    <w:p w14:paraId="357F885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cs="Times New Roman"/>
          <w:lang w:val="en-US" w:eastAsia="zh-CN"/>
        </w:rPr>
      </w:pPr>
      <w:r>
        <w:rPr>
          <w:rFonts w:hint="default" w:ascii="Times New Roman" w:hAnsi="Times New Roman" w:cs="Times New Roman"/>
          <w:sz w:val="32"/>
          <w:szCs w:val="32"/>
          <w:lang w:val="en-US" w:eastAsia="zh-CN"/>
        </w:rPr>
        <w:t>5.夯实航空航天先进材料基础。鼓励引导新材料领域企业重点布局航天级铝基材料、镁基材料、复合材料、非金属材料等，推动本地新材料在运载火箭箭体结构、发动机结构、卫星部件制作等方面的创新应用。</w:t>
      </w:r>
    </w:p>
    <w:p w14:paraId="60E90A2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楷体" w:cs="Times New Roman"/>
          <w:sz w:val="32"/>
          <w:szCs w:val="32"/>
          <w:lang w:eastAsia="zh-CN"/>
        </w:rPr>
      </w:pPr>
      <w:r>
        <w:rPr>
          <w:rFonts w:hint="default" w:ascii="Times New Roman" w:hAnsi="Times New Roman" w:cs="Times New Roman"/>
          <w:sz w:val="32"/>
          <w:szCs w:val="32"/>
          <w:lang w:val="en-US" w:eastAsia="zh-CN"/>
        </w:rPr>
        <w:t>6.推进关键元器件生产配套。鼓励引导</w:t>
      </w:r>
      <w:r>
        <w:rPr>
          <w:rFonts w:hint="default" w:ascii="Times New Roman" w:hAnsi="Times New Roman" w:eastAsia="仿宋_GB2312" w:cs="Times New Roman"/>
        </w:rPr>
        <w:t>集成电路、电子元器件、智能装备等领域企业</w:t>
      </w:r>
      <w:r>
        <w:rPr>
          <w:rFonts w:hint="default" w:ascii="Times New Roman" w:hAnsi="Times New Roman" w:cs="Times New Roman"/>
          <w:lang w:eastAsia="zh-CN"/>
        </w:rPr>
        <w:t>，聚焦</w:t>
      </w:r>
      <w:r>
        <w:rPr>
          <w:rFonts w:hint="default" w:ascii="Times New Roman" w:hAnsi="Times New Roman" w:eastAsia="仿宋_GB2312" w:cs="Times New Roman"/>
        </w:rPr>
        <w:t>运载火箭</w:t>
      </w:r>
      <w:r>
        <w:rPr>
          <w:rFonts w:hint="default" w:ascii="Times New Roman" w:hAnsi="Times New Roman" w:cs="Times New Roman"/>
          <w:lang w:eastAsia="zh-CN"/>
        </w:rPr>
        <w:t>关键部组件、</w:t>
      </w:r>
      <w:r>
        <w:rPr>
          <w:rFonts w:hint="default" w:ascii="Times New Roman" w:hAnsi="Times New Roman" w:eastAsia="仿宋_GB2312" w:cs="Times New Roman"/>
        </w:rPr>
        <w:t>研发协议芯片、专用芯片、传感器</w:t>
      </w:r>
      <w:r>
        <w:rPr>
          <w:rFonts w:hint="default" w:ascii="Times New Roman" w:hAnsi="Times New Roman" w:cs="Times New Roman"/>
          <w:lang w:eastAsia="zh-CN"/>
        </w:rPr>
        <w:t>、电线电缆等</w:t>
      </w:r>
      <w:r>
        <w:rPr>
          <w:rFonts w:hint="default" w:ascii="Times New Roman" w:hAnsi="Times New Roman" w:cs="Times New Roman"/>
          <w:sz w:val="32"/>
          <w:szCs w:val="32"/>
          <w:lang w:eastAsia="zh-CN"/>
        </w:rPr>
        <w:t>高技术高价值环节</w:t>
      </w:r>
      <w:r>
        <w:rPr>
          <w:rFonts w:hint="default" w:ascii="Times New Roman" w:hAnsi="Times New Roman" w:eastAsia="仿宋_GB2312" w:cs="Times New Roman"/>
          <w:sz w:val="32"/>
          <w:szCs w:val="32"/>
        </w:rPr>
        <w:t>，发展航天核心零部件及元器件制造业。</w:t>
      </w:r>
    </w:p>
    <w:p w14:paraId="6AF4E3E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楷体" w:cs="Times New Roman"/>
          <w:sz w:val="32"/>
          <w:szCs w:val="32"/>
          <w:lang w:eastAsia="zh-CN"/>
        </w:rPr>
      </w:pPr>
      <w:r>
        <w:rPr>
          <w:rFonts w:hint="default" w:ascii="Times New Roman" w:hAnsi="Times New Roman" w:eastAsia="楷体" w:cs="Times New Roman"/>
          <w:sz w:val="32"/>
          <w:szCs w:val="32"/>
          <w:lang w:eastAsia="zh-CN"/>
        </w:rPr>
        <w:t>（三）培育壮大市场主体</w:t>
      </w:r>
    </w:p>
    <w:p w14:paraId="5B01FD5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 w:cs="Times New Roman"/>
          <w:sz w:val="32"/>
          <w:szCs w:val="32"/>
        </w:rPr>
      </w:pPr>
      <w:r>
        <w:rPr>
          <w:rFonts w:hint="default" w:ascii="Times New Roman" w:hAnsi="Times New Roman" w:cs="Times New Roman"/>
          <w:sz w:val="32"/>
          <w:szCs w:val="32"/>
          <w:lang w:val="en-US" w:eastAsia="zh-CN"/>
        </w:rPr>
        <w:t>7.强化链主企业培育。</w:t>
      </w:r>
      <w:r>
        <w:rPr>
          <w:rFonts w:hint="default" w:ascii="Times New Roman" w:hAnsi="Times New Roman" w:cs="Times New Roman"/>
          <w:sz w:val="32"/>
          <w:szCs w:val="32"/>
          <w:lang w:eastAsia="zh-CN"/>
        </w:rPr>
        <w:t>支持</w:t>
      </w:r>
      <w:r>
        <w:rPr>
          <w:rFonts w:hint="default" w:ascii="Times New Roman" w:hAnsi="Times New Roman" w:eastAsia="仿宋_GB2312" w:cs="Times New Roman"/>
          <w:sz w:val="32"/>
          <w:szCs w:val="32"/>
        </w:rPr>
        <w:t>星河动力、航天易龙等头部</w:t>
      </w:r>
      <w:r>
        <w:rPr>
          <w:rFonts w:hint="default" w:ascii="Times New Roman" w:hAnsi="Times New Roman" w:cs="Times New Roman"/>
          <w:sz w:val="32"/>
          <w:szCs w:val="32"/>
          <w:lang w:eastAsia="zh-CN"/>
        </w:rPr>
        <w:t>领军</w:t>
      </w:r>
      <w:r>
        <w:rPr>
          <w:rFonts w:hint="default" w:ascii="Times New Roman" w:hAnsi="Times New Roman" w:eastAsia="仿宋_GB2312" w:cs="Times New Roman"/>
          <w:sz w:val="32"/>
          <w:szCs w:val="32"/>
        </w:rPr>
        <w:t>企业，做大做强，发挥其龙头带动作用；鼓励和引导本地中小企业与龙头骨干企业开展多种形式的经济技术合作，建立稳定的供应、生产、销售等协作、配套关系，提高专业化协作水平；鼓励龙头骨干企业将配套中小企业纳入共同的供应链管理、质量管理、标准管理、合作研发管理等，提升专业化协作和配套能力。</w:t>
      </w:r>
    </w:p>
    <w:p w14:paraId="34D2CD6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8</w:t>
      </w:r>
      <w:r>
        <w:rPr>
          <w:rFonts w:hint="default" w:ascii="Times New Roman" w:hAnsi="Times New Roman" w:eastAsia="仿宋_GB2312" w:cs="Times New Roman"/>
          <w:sz w:val="32"/>
          <w:szCs w:val="32"/>
          <w:lang w:val="en-US" w:eastAsia="zh-CN"/>
        </w:rPr>
        <w:t>.加快头部企业招引</w:t>
      </w:r>
      <w:r>
        <w:rPr>
          <w:rFonts w:hint="default" w:ascii="Times New Roman" w:hAnsi="Times New Roman" w:cs="Times New Roman"/>
          <w:sz w:val="32"/>
          <w:szCs w:val="32"/>
          <w:lang w:val="en-US" w:eastAsia="zh-CN"/>
        </w:rPr>
        <w:t>。围绕产业链全景图，立足补链、延链、强链建立池州市商业航天产业重点引进类和鼓励类项目目录清单和重点目标企业项目库，围绕发挥现有商业航天企业引领带动作用，积极争取重大项目落户池州，吸引其配套知名企业入驻池州。</w:t>
      </w:r>
    </w:p>
    <w:p w14:paraId="599F36F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楷体" w:cs="Times New Roman"/>
          <w:sz w:val="32"/>
          <w:szCs w:val="32"/>
          <w:lang w:eastAsia="zh-CN"/>
        </w:rPr>
      </w:pPr>
      <w:r>
        <w:rPr>
          <w:rFonts w:hint="default" w:ascii="Times New Roman" w:hAnsi="Times New Roman" w:eastAsia="楷体" w:cs="Times New Roman"/>
          <w:sz w:val="32"/>
          <w:szCs w:val="32"/>
          <w:lang w:eastAsia="zh-CN"/>
        </w:rPr>
        <w:t>（四）构建产业发展生态</w:t>
      </w:r>
    </w:p>
    <w:p w14:paraId="77F8083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 w:cs="Times New Roman"/>
          <w:sz w:val="32"/>
          <w:szCs w:val="32"/>
        </w:rPr>
      </w:pPr>
      <w:r>
        <w:rPr>
          <w:rFonts w:hint="default" w:ascii="Times New Roman" w:hAnsi="Times New Roman" w:cs="Times New Roman"/>
          <w:lang w:val="en-US" w:eastAsia="zh-CN"/>
        </w:rPr>
        <w:t>9.强化资金扶持。</w:t>
      </w:r>
      <w:r>
        <w:rPr>
          <w:rFonts w:hint="default" w:ascii="Times New Roman" w:hAnsi="Times New Roman" w:eastAsia="仿宋_GB2312" w:cs="Times New Roman"/>
          <w:sz w:val="32"/>
          <w:szCs w:val="32"/>
        </w:rPr>
        <w:t>鼓励商业航天企业加大科技研发、项目攻关和成果转化投入力度，政府给予专项资金扶持，有效整合研发、建设、运营等各环节力量，推动形成全链条创新机制</w:t>
      </w:r>
      <w:r>
        <w:rPr>
          <w:rFonts w:hint="default" w:ascii="Times New Roman" w:hAnsi="Times New Roman" w:cs="Times New Roman"/>
          <w:sz w:val="32"/>
          <w:szCs w:val="32"/>
          <w:lang w:eastAsia="zh-CN"/>
        </w:rPr>
        <w:t>；</w:t>
      </w:r>
      <w:r>
        <w:rPr>
          <w:rFonts w:hint="default" w:ascii="Times New Roman" w:hAnsi="Times New Roman" w:eastAsia="仿宋_GB2312" w:cs="Times New Roman"/>
          <w:sz w:val="32"/>
          <w:szCs w:val="32"/>
        </w:rPr>
        <w:t>对于投资金额大、产业关联度大、技术含量高、创税能力强，有重大影响和特殊推动作用的大型投资项目，可</w:t>
      </w:r>
      <w:r>
        <w:rPr>
          <w:rFonts w:hint="default" w:ascii="Times New Roman" w:hAnsi="Times New Roman" w:cs="Times New Roman"/>
          <w:sz w:val="32"/>
          <w:szCs w:val="32"/>
          <w:lang w:val="en-US" w:eastAsia="zh-CN"/>
        </w:rPr>
        <w:t>对上争取专项政策支持</w:t>
      </w:r>
      <w:r>
        <w:rPr>
          <w:rFonts w:hint="default" w:ascii="Times New Roman" w:hAnsi="Times New Roman" w:eastAsia="仿宋_GB2312" w:cs="Times New Roman"/>
          <w:sz w:val="32"/>
          <w:szCs w:val="32"/>
        </w:rPr>
        <w:t>。</w:t>
      </w:r>
    </w:p>
    <w:p w14:paraId="79FA00FD">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10.强化金融服务。</w:t>
      </w:r>
      <w:r>
        <w:rPr>
          <w:rFonts w:hint="default" w:ascii="Times New Roman" w:hAnsi="Times New Roman" w:eastAsia="仿宋_GB2312" w:cs="Times New Roman"/>
          <w:sz w:val="32"/>
          <w:szCs w:val="32"/>
        </w:rPr>
        <w:t>鼓励和支持社会资本面向</w:t>
      </w:r>
      <w:r>
        <w:rPr>
          <w:rFonts w:hint="default" w:ascii="Times New Roman" w:hAnsi="Times New Roman" w:cs="Times New Roman"/>
          <w:sz w:val="32"/>
          <w:szCs w:val="32"/>
          <w:lang w:eastAsia="zh-CN"/>
        </w:rPr>
        <w:t>池州市</w:t>
      </w:r>
      <w:r>
        <w:rPr>
          <w:rFonts w:hint="default" w:ascii="Times New Roman" w:hAnsi="Times New Roman" w:eastAsia="仿宋_GB2312" w:cs="Times New Roman"/>
          <w:sz w:val="32"/>
          <w:szCs w:val="32"/>
        </w:rPr>
        <w:t>商业航天产业，采取设立种子基金、天使基金等形式，根据企业实际情况提供定制化金融服务</w:t>
      </w:r>
      <w:r>
        <w:rPr>
          <w:rFonts w:hint="default" w:ascii="Times New Roman" w:hAnsi="Times New Roman" w:cs="Times New Roman"/>
          <w:lang w:val="en-US" w:eastAsia="zh-CN"/>
        </w:rPr>
        <w:t>；推动设立商业航天产业投资基金，加大对商业航天全产业链、全生命周期的投资力度。</w:t>
      </w:r>
    </w:p>
    <w:p w14:paraId="38261CE6">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cs="Times New Roman"/>
          <w:lang w:eastAsia="zh-CN"/>
        </w:rPr>
      </w:pPr>
      <w:r>
        <w:rPr>
          <w:rFonts w:hint="default" w:ascii="Times New Roman" w:hAnsi="Times New Roman" w:cs="Times New Roman"/>
          <w:lang w:val="en-US" w:eastAsia="zh-CN"/>
        </w:rPr>
        <w:t>11.强化人才</w:t>
      </w:r>
      <w:r>
        <w:rPr>
          <w:rFonts w:hint="default" w:ascii="Times New Roman" w:hAnsi="Times New Roman" w:cs="Times New Roman"/>
          <w:lang w:eastAsia="zh-CN"/>
        </w:rPr>
        <w:t>引育。联合商业航天企业</w:t>
      </w:r>
      <w:r>
        <w:rPr>
          <w:rFonts w:hint="default" w:ascii="Times New Roman" w:hAnsi="Times New Roman" w:eastAsia="仿宋_GB2312" w:cs="Times New Roman"/>
          <w:i w:val="0"/>
          <w:caps w:val="0"/>
          <w:color w:val="000000"/>
          <w:spacing w:val="0"/>
          <w:kern w:val="0"/>
          <w:sz w:val="32"/>
          <w:szCs w:val="32"/>
          <w:shd w:val="clear" w:color="auto" w:fill="FFFFFF"/>
          <w:lang w:val="en-US" w:eastAsia="zh-CN" w:bidi="ar"/>
        </w:rPr>
        <w:t>制定高层次人才、紧缺人才、专业人才招引目录，</w:t>
      </w:r>
      <w:r>
        <w:rPr>
          <w:rFonts w:hint="default" w:ascii="Times New Roman" w:hAnsi="Times New Roman" w:cs="Times New Roman"/>
          <w:i w:val="0"/>
          <w:caps w:val="0"/>
          <w:color w:val="000000"/>
          <w:spacing w:val="0"/>
          <w:kern w:val="0"/>
          <w:sz w:val="32"/>
          <w:szCs w:val="32"/>
          <w:shd w:val="clear" w:color="auto" w:fill="FFFFFF"/>
          <w:lang w:val="en-US" w:eastAsia="zh-CN" w:bidi="ar"/>
        </w:rPr>
        <w:t>持续实施“万马奔池”人才计划</w:t>
      </w:r>
      <w:r>
        <w:rPr>
          <w:rFonts w:hint="default" w:ascii="Times New Roman" w:hAnsi="Times New Roman" w:eastAsia="仿宋_GB2312" w:cs="Times New Roman"/>
          <w:i w:val="0"/>
          <w:caps w:val="0"/>
          <w:color w:val="000000"/>
          <w:spacing w:val="0"/>
          <w:kern w:val="0"/>
          <w:sz w:val="32"/>
          <w:szCs w:val="32"/>
          <w:shd w:val="clear" w:color="auto" w:fill="FFFFFF"/>
          <w:lang w:val="en-US" w:eastAsia="zh-CN" w:bidi="ar"/>
        </w:rPr>
        <w:t>，加大海内外高层次人才引进，</w:t>
      </w:r>
      <w:r>
        <w:rPr>
          <w:rFonts w:hint="default" w:ascii="Times New Roman" w:hAnsi="Times New Roman" w:cs="Times New Roman"/>
          <w:i w:val="0"/>
          <w:caps w:val="0"/>
          <w:color w:val="000000"/>
          <w:spacing w:val="0"/>
          <w:kern w:val="0"/>
          <w:sz w:val="32"/>
          <w:szCs w:val="32"/>
          <w:shd w:val="clear" w:color="auto" w:fill="FFFFFF"/>
          <w:lang w:val="en-US" w:eastAsia="zh-CN" w:bidi="ar"/>
        </w:rPr>
        <w:t>提升</w:t>
      </w:r>
      <w:r>
        <w:rPr>
          <w:rFonts w:hint="default" w:ascii="Times New Roman" w:hAnsi="Times New Roman" w:eastAsia="仿宋_GB2312" w:cs="Times New Roman"/>
          <w:i w:val="0"/>
          <w:caps w:val="0"/>
          <w:color w:val="000000"/>
          <w:spacing w:val="0"/>
          <w:kern w:val="0"/>
          <w:sz w:val="32"/>
          <w:szCs w:val="32"/>
          <w:shd w:val="clear" w:color="auto" w:fill="FFFFFF"/>
          <w:lang w:val="en-US" w:eastAsia="zh-CN" w:bidi="ar"/>
        </w:rPr>
        <w:t>人才落户、住房安居、子女入学等方面保障力度</w:t>
      </w:r>
      <w:r>
        <w:rPr>
          <w:rFonts w:hint="default" w:ascii="Times New Roman" w:hAnsi="Times New Roman" w:cs="Times New Roman"/>
          <w:i w:val="0"/>
          <w:caps w:val="0"/>
          <w:color w:val="000000"/>
          <w:spacing w:val="0"/>
          <w:kern w:val="0"/>
          <w:sz w:val="32"/>
          <w:szCs w:val="32"/>
          <w:shd w:val="clear" w:color="auto" w:fill="FFFFFF"/>
          <w:lang w:val="en-US" w:eastAsia="zh-CN" w:bidi="ar"/>
        </w:rPr>
        <w:t>。</w:t>
      </w:r>
    </w:p>
    <w:p w14:paraId="4140E712">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12.强化场景创新。编制商业航天应用场景清单，对池州市航天资源全方位梳理，主动发现新技术、新产品和新模式；针对产品需求、服务需求、技术需求向业内展示成果，为市场合作提供便利条件；强化清单成果运用，促进政企间、企业间供需信息精准对接，推动商业航天产业与生产生活和城市治理深度融合。</w:t>
      </w:r>
    </w:p>
    <w:p w14:paraId="1DC2302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楷体" w:cs="Times New Roman"/>
          <w:sz w:val="32"/>
          <w:szCs w:val="32"/>
        </w:rPr>
      </w:pPr>
      <w:r>
        <w:rPr>
          <w:rFonts w:hint="default" w:ascii="Times New Roman" w:hAnsi="Times New Roman" w:eastAsia="黑体" w:cs="Times New Roman"/>
          <w:sz w:val="32"/>
          <w:szCs w:val="32"/>
        </w:rPr>
        <w:t>四、保障</w:t>
      </w:r>
      <w:r>
        <w:rPr>
          <w:rFonts w:hint="default" w:ascii="Times New Roman" w:hAnsi="Times New Roman" w:eastAsia="黑体" w:cs="Times New Roman"/>
          <w:sz w:val="32"/>
          <w:szCs w:val="32"/>
          <w:lang w:eastAsia="zh-CN"/>
        </w:rPr>
        <w:t>措施</w:t>
      </w:r>
    </w:p>
    <w:p w14:paraId="6BDC5FA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cs="Times New Roman"/>
          <w:sz w:val="32"/>
          <w:szCs w:val="32"/>
          <w:lang w:eastAsia="zh-CN"/>
        </w:rPr>
        <w:t>（一）加强组织领导。成立商业航天产业推进工作专班，市政府负责同志为专班负责人，市工业和信息化局主要负责同志为办公室主任，皖江江南新兴产业集中区和市有关单位为专班成员，统筹</w:t>
      </w:r>
      <w:r>
        <w:rPr>
          <w:rFonts w:hint="default" w:ascii="Times New Roman" w:hAnsi="Times New Roman" w:eastAsia="仿宋_GB2312" w:cs="Times New Roman"/>
        </w:rPr>
        <w:t>研究重大事项，协调重大问题</w:t>
      </w:r>
      <w:r>
        <w:rPr>
          <w:rFonts w:hint="default" w:ascii="Times New Roman" w:hAnsi="Times New Roman" w:cs="Times New Roman"/>
          <w:lang w:eastAsia="zh-CN"/>
        </w:rPr>
        <w:t>，扎实推进</w:t>
      </w:r>
      <w:r>
        <w:rPr>
          <w:rFonts w:hint="default" w:ascii="Times New Roman" w:hAnsi="Times New Roman" w:eastAsia="仿宋_GB2312" w:cs="Times New Roman"/>
          <w:sz w:val="32"/>
          <w:szCs w:val="32"/>
          <w:lang w:eastAsia="zh-CN"/>
        </w:rPr>
        <w:t>各项任务落地落实</w:t>
      </w:r>
      <w:r>
        <w:rPr>
          <w:rFonts w:hint="default" w:ascii="Times New Roman" w:hAnsi="Times New Roman" w:cs="Times New Roman"/>
          <w:sz w:val="32"/>
          <w:szCs w:val="32"/>
          <w:lang w:eastAsia="zh-CN"/>
        </w:rPr>
        <w:t>。</w:t>
      </w:r>
    </w:p>
    <w:p w14:paraId="4B7065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cs="Times New Roman"/>
          <w:sz w:val="32"/>
          <w:szCs w:val="32"/>
          <w:lang w:eastAsia="zh-CN"/>
        </w:rPr>
        <w:t>（二）争取政策支持。</w:t>
      </w:r>
      <w:r>
        <w:rPr>
          <w:rFonts w:hint="default" w:ascii="Times New Roman" w:hAnsi="Times New Roman" w:eastAsia="仿宋_GB2312" w:cs="Times New Roman"/>
          <w:sz w:val="32"/>
          <w:szCs w:val="32"/>
          <w:lang w:eastAsia="zh-CN"/>
        </w:rPr>
        <w:t>积极对接省有关部门，争取省级政策支持，力争将池州市纳入全省商业航天产业规划布局；制定商业航天产业发展支持政策，落实专项扶持资金。</w:t>
      </w:r>
    </w:p>
    <w:p w14:paraId="56161D9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cs="Times New Roman"/>
          <w:sz w:val="32"/>
          <w:szCs w:val="32"/>
          <w:lang w:eastAsia="zh-CN"/>
        </w:rPr>
        <w:t>（三）做好要素保障。</w:t>
      </w:r>
      <w:r>
        <w:rPr>
          <w:rFonts w:hint="default" w:ascii="Times New Roman" w:hAnsi="Times New Roman" w:eastAsia="仿宋_GB2312" w:cs="Times New Roman"/>
          <w:sz w:val="32"/>
          <w:szCs w:val="32"/>
          <w:lang w:eastAsia="zh-CN"/>
        </w:rPr>
        <w:t>建立商业航天重大项目库，加强项目谋划储备，跟踪衔接国家相关政策规划，积极争取重大项目、重大工程纳入省级及国家层面布局，动态梳理用地、能耗、环境容量等要素资源需求，争取国家和省支持。</w:t>
      </w:r>
    </w:p>
    <w:p w14:paraId="153BC5A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w:t>
      </w:r>
      <w:r>
        <w:rPr>
          <w:rFonts w:hint="default" w:ascii="Times New Roman" w:hAnsi="Times New Roman" w:cs="Times New Roman"/>
          <w:sz w:val="32"/>
          <w:szCs w:val="32"/>
          <w:lang w:eastAsia="zh-CN"/>
        </w:rPr>
        <w:t>四</w:t>
      </w:r>
      <w:r>
        <w:rPr>
          <w:rFonts w:hint="default" w:ascii="Times New Roman" w:hAnsi="Times New Roman" w:eastAsia="仿宋_GB2312" w:cs="Times New Roman"/>
          <w:sz w:val="32"/>
          <w:szCs w:val="32"/>
          <w:lang w:eastAsia="zh-CN"/>
        </w:rPr>
        <w:t>）注重宣传推广。</w:t>
      </w:r>
      <w:r>
        <w:rPr>
          <w:rFonts w:hint="default" w:ascii="Times New Roman" w:hAnsi="Times New Roman" w:eastAsia="仿宋_GB2312" w:cs="Times New Roman"/>
          <w:sz w:val="32"/>
          <w:szCs w:val="32"/>
        </w:rPr>
        <w:t>创新宣传方式</w:t>
      </w:r>
      <w:r>
        <w:rPr>
          <w:rFonts w:hint="default" w:ascii="Times New Roman" w:hAnsi="Times New Roman" w:cs="Times New Roman"/>
          <w:sz w:val="32"/>
          <w:szCs w:val="32"/>
          <w:lang w:eastAsia="zh-CN"/>
        </w:rPr>
        <w:t>，</w:t>
      </w:r>
      <w:r>
        <w:rPr>
          <w:rFonts w:hint="default" w:ascii="Times New Roman" w:hAnsi="Times New Roman" w:eastAsia="仿宋_GB2312" w:cs="Times New Roman"/>
          <w:sz w:val="32"/>
          <w:szCs w:val="32"/>
          <w:lang w:eastAsia="zh-CN"/>
        </w:rPr>
        <w:t>定期举办商业航天产业高端论坛、产品发布会等活动，提升池</w:t>
      </w:r>
      <w:r>
        <w:rPr>
          <w:rFonts w:hint="default" w:ascii="Times New Roman" w:hAnsi="Times New Roman" w:eastAsia="仿宋_GB2312" w:cs="Times New Roman"/>
          <w:sz w:val="32"/>
          <w:szCs w:val="32"/>
        </w:rPr>
        <w:t>州商业航天产业的知名度和影响力；</w:t>
      </w:r>
      <w:r>
        <w:rPr>
          <w:rFonts w:hint="default" w:ascii="Times New Roman" w:hAnsi="Times New Roman" w:cs="Times New Roman"/>
          <w:sz w:val="32"/>
          <w:szCs w:val="32"/>
          <w:lang w:eastAsia="zh-CN"/>
        </w:rPr>
        <w:t>加大宣传力度，</w:t>
      </w:r>
      <w:r>
        <w:rPr>
          <w:rFonts w:hint="default" w:ascii="Times New Roman" w:hAnsi="Times New Roman" w:eastAsia="仿宋_GB2312" w:cs="Times New Roman"/>
          <w:sz w:val="32"/>
          <w:szCs w:val="32"/>
        </w:rPr>
        <w:t>利用多种媒体渠道宣传池州商业航天产业的发展成果和优势资源，吸引更多企业和人才关注池州商业航天产业。</w:t>
      </w:r>
    </w:p>
    <w:p w14:paraId="2BAFC5A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lang w:eastAsia="zh-CN"/>
        </w:rPr>
      </w:pPr>
    </w:p>
    <w:p w14:paraId="79BC34F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_GB2312" w:cs="Times New Roman"/>
          <w:sz w:val="32"/>
          <w:szCs w:val="32"/>
          <w:lang w:eastAsia="zh-CN"/>
        </w:rPr>
        <w:t>附</w:t>
      </w:r>
      <w:r>
        <w:rPr>
          <w:rFonts w:hint="default" w:ascii="Times New Roman" w:hAnsi="Times New Roman" w:eastAsia="仿宋_GB2312" w:cs="Times New Roman"/>
          <w:sz w:val="32"/>
          <w:szCs w:val="32"/>
        </w:rPr>
        <w:t>：池州市商业航天产业发展责任清单</w:t>
      </w:r>
    </w:p>
    <w:p w14:paraId="4CB00947">
      <w:pPr>
        <w:spacing w:beforeLines="50" w:afterLines="50" w:line="600" w:lineRule="exact"/>
        <w:rPr>
          <w:rFonts w:hint="default" w:ascii="Times New Roman" w:hAnsi="Times New Roman" w:eastAsia="仿宋" w:cs="Times New Roman"/>
          <w:sz w:val="32"/>
          <w:szCs w:val="32"/>
        </w:rPr>
        <w:sectPr>
          <w:footerReference r:id="rId3" w:type="default"/>
          <w:pgSz w:w="11906" w:h="16838"/>
          <w:pgMar w:top="1440" w:right="1797" w:bottom="1440" w:left="1797" w:header="851" w:footer="992" w:gutter="0"/>
          <w:cols w:space="0" w:num="1"/>
          <w:docGrid w:type="lines" w:linePitch="312" w:charSpace="0"/>
        </w:sectPr>
      </w:pPr>
    </w:p>
    <w:p w14:paraId="721B870C">
      <w:pPr>
        <w:pStyle w:val="2"/>
        <w:ind w:left="0" w:leftChars="0" w:firstLine="0" w:firstLineChars="0"/>
        <w:rPr>
          <w:rFonts w:hint="default" w:ascii="Times New Roman" w:hAnsi="Times New Roman" w:eastAsia="楷体_GB2312" w:cs="Times New Roman"/>
          <w:b w:val="0"/>
          <w:bCs/>
          <w:lang w:val="en-US" w:eastAsia="zh-CN"/>
        </w:rPr>
      </w:pPr>
      <w:r>
        <w:rPr>
          <w:rFonts w:hint="default" w:ascii="Times New Roman" w:hAnsi="Times New Roman" w:cs="Times New Roman"/>
          <w:b w:val="0"/>
          <w:bCs/>
          <w:lang w:val="en-US" w:eastAsia="zh-CN"/>
        </w:rPr>
        <w:t xml:space="preserve">附 </w:t>
      </w:r>
    </w:p>
    <w:p w14:paraId="202101B4">
      <w:pPr>
        <w:keepNext w:val="0"/>
        <w:keepLines w:val="0"/>
        <w:pageBreakBefore w:val="0"/>
        <w:widowControl w:val="0"/>
        <w:kinsoku/>
        <w:wordWrap/>
        <w:overflowPunct/>
        <w:topLinePunct w:val="0"/>
        <w:autoSpaceDE/>
        <w:autoSpaceDN/>
        <w:bidi w:val="0"/>
        <w:adjustRightInd/>
        <w:snapToGrid/>
        <w:spacing w:after="161" w:afterLines="50"/>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池州市商业航天产业发展责任清单</w:t>
      </w:r>
    </w:p>
    <w:tbl>
      <w:tblPr>
        <w:tblStyle w:val="10"/>
        <w:tblW w:w="14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7937"/>
        <w:gridCol w:w="2551"/>
        <w:gridCol w:w="2551"/>
      </w:tblGrid>
      <w:tr w14:paraId="2830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1384" w:type="dxa"/>
            <w:vAlign w:val="center"/>
          </w:tcPr>
          <w:p w14:paraId="2AACF9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序号</w:t>
            </w:r>
          </w:p>
        </w:tc>
        <w:tc>
          <w:tcPr>
            <w:tcW w:w="7937" w:type="dxa"/>
            <w:vAlign w:val="center"/>
          </w:tcPr>
          <w:p w14:paraId="5832EB0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工作事项</w:t>
            </w:r>
          </w:p>
        </w:tc>
        <w:tc>
          <w:tcPr>
            <w:tcW w:w="2551" w:type="dxa"/>
            <w:vAlign w:val="center"/>
          </w:tcPr>
          <w:p w14:paraId="366D158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牵头单位</w:t>
            </w:r>
          </w:p>
        </w:tc>
        <w:tc>
          <w:tcPr>
            <w:tcW w:w="2551" w:type="dxa"/>
            <w:vAlign w:val="center"/>
          </w:tcPr>
          <w:p w14:paraId="6EF2672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val="en-US" w:eastAsia="zh-CN"/>
              </w:rPr>
              <w:t>配合</w:t>
            </w:r>
            <w:r>
              <w:rPr>
                <w:rFonts w:hint="default" w:ascii="Times New Roman" w:hAnsi="Times New Roman" w:eastAsia="黑体" w:cs="Times New Roman"/>
                <w:sz w:val="32"/>
                <w:szCs w:val="32"/>
              </w:rPr>
              <w:t>单位</w:t>
            </w:r>
          </w:p>
        </w:tc>
      </w:tr>
      <w:tr w14:paraId="1DFD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vAlign w:val="center"/>
          </w:tcPr>
          <w:p w14:paraId="044AE0F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p>
        </w:tc>
        <w:tc>
          <w:tcPr>
            <w:tcW w:w="7937" w:type="dxa"/>
            <w:vAlign w:val="center"/>
          </w:tcPr>
          <w:p w14:paraId="77E5D489">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rPr>
              <w:t>搭建校企联合技术孵化机制。加强与北京航空航天大学、南京航空航天大学等航天院校合作，通过建立院士工作站、联合实验室等方式，牵头或参与承担国家、省级科技重大专项，强化产学研用合作对接；鼓励企业与高校、科研院所实施战略合作，以共建博士后流动站、企业孵化器、众创空间等载体方式，开展产业关键技术研发和产业化示范应用。</w:t>
            </w:r>
          </w:p>
        </w:tc>
        <w:tc>
          <w:tcPr>
            <w:tcW w:w="2551" w:type="dxa"/>
            <w:vAlign w:val="center"/>
          </w:tcPr>
          <w:p w14:paraId="5897B36D">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eastAsia="仿宋_GB2312" w:cs="Times New Roman"/>
                <w:sz w:val="32"/>
                <w:szCs w:val="32"/>
                <w:lang w:eastAsia="zh-CN"/>
              </w:rPr>
            </w:pPr>
            <w:r>
              <w:rPr>
                <w:rFonts w:hint="default" w:ascii="Times New Roman" w:hAnsi="Times New Roman" w:cs="Times New Roman"/>
                <w:sz w:val="32"/>
                <w:szCs w:val="32"/>
                <w:lang w:eastAsia="zh-CN"/>
              </w:rPr>
              <w:t>市科技局</w:t>
            </w:r>
          </w:p>
        </w:tc>
        <w:tc>
          <w:tcPr>
            <w:tcW w:w="2551" w:type="dxa"/>
            <w:vAlign w:val="center"/>
          </w:tcPr>
          <w:p w14:paraId="180A7E51">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eastAsia="仿宋_GB2312" w:cs="Times New Roman"/>
                <w:sz w:val="32"/>
                <w:szCs w:val="32"/>
                <w:lang w:eastAsia="zh-CN"/>
              </w:rPr>
            </w:pPr>
            <w:r>
              <w:rPr>
                <w:rFonts w:hint="default" w:ascii="Times New Roman" w:hAnsi="Times New Roman" w:cs="Times New Roman"/>
                <w:sz w:val="32"/>
                <w:szCs w:val="32"/>
                <w:lang w:eastAsia="zh-CN"/>
              </w:rPr>
              <w:t>江南集中区</w:t>
            </w:r>
          </w:p>
        </w:tc>
      </w:tr>
      <w:tr w14:paraId="5B7AB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vAlign w:val="center"/>
          </w:tcPr>
          <w:p w14:paraId="6D9E21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p>
        </w:tc>
        <w:tc>
          <w:tcPr>
            <w:tcW w:w="7937" w:type="dxa"/>
            <w:vAlign w:val="center"/>
          </w:tcPr>
          <w:p w14:paraId="23EB0E2A">
            <w:pPr>
              <w:keepNext w:val="0"/>
              <w:keepLines w:val="0"/>
              <w:pageBreakBefore w:val="0"/>
              <w:widowControl w:val="0"/>
              <w:kinsoku/>
              <w:wordWrap/>
              <w:overflowPunct/>
              <w:topLinePunct w:val="0"/>
              <w:autoSpaceDE/>
              <w:autoSpaceDN/>
              <w:bidi w:val="0"/>
              <w:adjustRightInd/>
              <w:snapToGrid/>
              <w:spacing w:line="50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rPr>
              <w:t>加大科技创新服务平台建设。支持企业依托技术创新中心，建设公共研发平台、验证测试平台、认证平台、工程应用平台等；引导企业联合开展共性关键技术、关键零部件、系统集成等方面协同攻关，推进重大专项技术、重大新产品开发及产业化。</w:t>
            </w:r>
          </w:p>
        </w:tc>
        <w:tc>
          <w:tcPr>
            <w:tcW w:w="2551" w:type="dxa"/>
            <w:vAlign w:val="center"/>
          </w:tcPr>
          <w:p w14:paraId="02879EC1">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eastAsia="zh-CN"/>
              </w:rPr>
              <w:t>市科技局</w:t>
            </w:r>
          </w:p>
        </w:tc>
        <w:tc>
          <w:tcPr>
            <w:tcW w:w="2551" w:type="dxa"/>
            <w:vAlign w:val="center"/>
          </w:tcPr>
          <w:p w14:paraId="773C0E33">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eastAsia="zh-CN"/>
              </w:rPr>
              <w:t>江南集中区</w:t>
            </w:r>
          </w:p>
        </w:tc>
      </w:tr>
      <w:tr w14:paraId="63EC7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1" w:hRule="atLeast"/>
          <w:jc w:val="center"/>
        </w:trPr>
        <w:tc>
          <w:tcPr>
            <w:tcW w:w="1384" w:type="dxa"/>
            <w:vAlign w:val="center"/>
          </w:tcPr>
          <w:p w14:paraId="014F884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w:t>
            </w:r>
          </w:p>
        </w:tc>
        <w:tc>
          <w:tcPr>
            <w:tcW w:w="7937" w:type="dxa"/>
            <w:vAlign w:val="center"/>
          </w:tcPr>
          <w:p w14:paraId="511F4F2C">
            <w:pPr>
              <w:keepNext w:val="0"/>
              <w:keepLines w:val="0"/>
              <w:pageBreakBefore w:val="0"/>
              <w:widowControl w:val="0"/>
              <w:kinsoku/>
              <w:wordWrap/>
              <w:overflowPunct/>
              <w:topLinePunct w:val="0"/>
              <w:autoSpaceDE/>
              <w:autoSpaceDN/>
              <w:bidi w:val="0"/>
              <w:adjustRightInd/>
              <w:snapToGrid/>
              <w:spacing w:line="50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探索行业智库辅助发展模式。联合高校、科研机构等单位成立池州市商业航天研究院，设立商业航天专家委员会，对产业重大决策、重大项目实施和关键技术研发提供智力支持；充分发挥商业航天产业联盟平台作用，坚持政府引导、行业指导和企业主导，推动产业链上下游之间的协作联动。</w:t>
            </w:r>
          </w:p>
        </w:tc>
        <w:tc>
          <w:tcPr>
            <w:tcW w:w="2551" w:type="dxa"/>
            <w:vAlign w:val="center"/>
          </w:tcPr>
          <w:p w14:paraId="7D77514A">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eastAsia="zh-CN"/>
              </w:rPr>
              <w:t>江南集中区</w:t>
            </w:r>
          </w:p>
        </w:tc>
        <w:tc>
          <w:tcPr>
            <w:tcW w:w="2551" w:type="dxa"/>
            <w:vAlign w:val="center"/>
          </w:tcPr>
          <w:p w14:paraId="1ADF7C33">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市科技局</w:t>
            </w:r>
          </w:p>
        </w:tc>
      </w:tr>
      <w:tr w14:paraId="5C382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vAlign w:val="center"/>
          </w:tcPr>
          <w:p w14:paraId="1684B05F">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w:t>
            </w:r>
          </w:p>
        </w:tc>
        <w:tc>
          <w:tcPr>
            <w:tcW w:w="7937" w:type="dxa"/>
            <w:vAlign w:val="center"/>
          </w:tcPr>
          <w:p w14:paraId="096E02DD">
            <w:pPr>
              <w:keepNext w:val="0"/>
              <w:keepLines w:val="0"/>
              <w:pageBreakBefore w:val="0"/>
              <w:widowControl w:val="0"/>
              <w:kinsoku/>
              <w:wordWrap/>
              <w:overflowPunct/>
              <w:topLinePunct w:val="0"/>
              <w:autoSpaceDE/>
              <w:autoSpaceDN/>
              <w:bidi w:val="0"/>
              <w:adjustRightInd/>
              <w:snapToGrid/>
              <w:spacing w:line="50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提升火箭及发动机研制能力。皖江江南新兴产业集中区围绕液体火箭总装总测、可重复使用火箭发动机研发、制造，推动火箭研发、制造、总装、测试一体化建设，着力提升商业火箭智能制造、试验验证和运营维护能力。</w:t>
            </w:r>
          </w:p>
        </w:tc>
        <w:tc>
          <w:tcPr>
            <w:tcW w:w="2551" w:type="dxa"/>
            <w:vAlign w:val="center"/>
          </w:tcPr>
          <w:p w14:paraId="3F47EB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江南集中区</w:t>
            </w:r>
          </w:p>
        </w:tc>
        <w:tc>
          <w:tcPr>
            <w:tcW w:w="2551" w:type="dxa"/>
            <w:vAlign w:val="center"/>
          </w:tcPr>
          <w:p w14:paraId="729D0890">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市发改委</w:t>
            </w:r>
          </w:p>
          <w:p w14:paraId="287FF5EE">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市科技局</w:t>
            </w:r>
          </w:p>
          <w:p w14:paraId="21279405">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市工信局</w:t>
            </w:r>
          </w:p>
        </w:tc>
      </w:tr>
      <w:tr w14:paraId="09C33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vAlign w:val="center"/>
          </w:tcPr>
          <w:p w14:paraId="24D797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w:t>
            </w:r>
          </w:p>
        </w:tc>
        <w:tc>
          <w:tcPr>
            <w:tcW w:w="7937" w:type="dxa"/>
          </w:tcPr>
          <w:p w14:paraId="129579A1">
            <w:pPr>
              <w:keepNext w:val="0"/>
              <w:keepLines w:val="0"/>
              <w:pageBreakBefore w:val="0"/>
              <w:widowControl w:val="0"/>
              <w:kinsoku/>
              <w:wordWrap/>
              <w:overflowPunct/>
              <w:topLinePunct w:val="0"/>
              <w:autoSpaceDE/>
              <w:autoSpaceDN/>
              <w:bidi w:val="0"/>
              <w:adjustRightInd/>
              <w:snapToGrid/>
              <w:spacing w:line="50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夯实航空航天先进材料基础。鼓励引导新材料领域企业重点布局航天级铝基材料、镁基材料、复合材料、非金属材料等，推动本地新材料在运载火箭箭体结构、发动机结构、卫星部件制作等方面的创新应用。</w:t>
            </w:r>
          </w:p>
        </w:tc>
        <w:tc>
          <w:tcPr>
            <w:tcW w:w="2551" w:type="dxa"/>
            <w:vAlign w:val="center"/>
          </w:tcPr>
          <w:p w14:paraId="60B769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江南集中区</w:t>
            </w:r>
          </w:p>
          <w:p w14:paraId="7382984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市开发区</w:t>
            </w:r>
          </w:p>
          <w:p w14:paraId="47D52C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lang w:eastAsia="zh-CN"/>
              </w:rPr>
            </w:pPr>
            <w:r>
              <w:rPr>
                <w:rFonts w:hint="default" w:ascii="Times New Roman" w:hAnsi="Times New Roman" w:cs="Times New Roman"/>
                <w:sz w:val="32"/>
                <w:szCs w:val="32"/>
                <w:lang w:eastAsia="zh-CN"/>
              </w:rPr>
              <w:t>青阳县</w:t>
            </w:r>
          </w:p>
        </w:tc>
        <w:tc>
          <w:tcPr>
            <w:tcW w:w="2551" w:type="dxa"/>
            <w:vAlign w:val="center"/>
          </w:tcPr>
          <w:p w14:paraId="741056F9">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市发改委</w:t>
            </w:r>
          </w:p>
          <w:p w14:paraId="62D8EEC6">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市科技局</w:t>
            </w:r>
          </w:p>
          <w:p w14:paraId="7FB205C3">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市工信局</w:t>
            </w:r>
          </w:p>
        </w:tc>
      </w:tr>
      <w:tr w14:paraId="7EF4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vAlign w:val="center"/>
          </w:tcPr>
          <w:p w14:paraId="08FF54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w:t>
            </w:r>
          </w:p>
        </w:tc>
        <w:tc>
          <w:tcPr>
            <w:tcW w:w="7937" w:type="dxa"/>
          </w:tcPr>
          <w:p w14:paraId="2B268B8A">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推进关键元器件生产配套。鼓励引导</w:t>
            </w:r>
            <w:r>
              <w:rPr>
                <w:rFonts w:hint="default" w:ascii="Times New Roman" w:hAnsi="Times New Roman" w:eastAsia="仿宋_GB2312" w:cs="Times New Roman"/>
                <w:sz w:val="32"/>
                <w:szCs w:val="32"/>
              </w:rPr>
              <w:t>集成电路、电子元器件、智能装备等领域企业</w:t>
            </w:r>
            <w:r>
              <w:rPr>
                <w:rFonts w:hint="default" w:ascii="Times New Roman" w:hAnsi="Times New Roman" w:cs="Times New Roman"/>
                <w:sz w:val="32"/>
                <w:szCs w:val="32"/>
                <w:lang w:eastAsia="zh-CN"/>
              </w:rPr>
              <w:t>，聚焦</w:t>
            </w:r>
            <w:r>
              <w:rPr>
                <w:rFonts w:hint="default" w:ascii="Times New Roman" w:hAnsi="Times New Roman" w:eastAsia="仿宋_GB2312" w:cs="Times New Roman"/>
                <w:sz w:val="32"/>
                <w:szCs w:val="32"/>
              </w:rPr>
              <w:t>运载火箭</w:t>
            </w:r>
            <w:r>
              <w:rPr>
                <w:rFonts w:hint="default" w:ascii="Times New Roman" w:hAnsi="Times New Roman" w:cs="Times New Roman"/>
                <w:sz w:val="32"/>
                <w:szCs w:val="32"/>
                <w:lang w:eastAsia="zh-CN"/>
              </w:rPr>
              <w:t>关键部组件、</w:t>
            </w:r>
            <w:r>
              <w:rPr>
                <w:rFonts w:hint="default" w:ascii="Times New Roman" w:hAnsi="Times New Roman" w:eastAsia="仿宋_GB2312" w:cs="Times New Roman"/>
                <w:sz w:val="32"/>
                <w:szCs w:val="32"/>
              </w:rPr>
              <w:t>研发协议芯片、专用芯片、传感器</w:t>
            </w:r>
            <w:r>
              <w:rPr>
                <w:rFonts w:hint="default" w:ascii="Times New Roman" w:hAnsi="Times New Roman" w:cs="Times New Roman"/>
                <w:sz w:val="32"/>
                <w:szCs w:val="32"/>
                <w:lang w:eastAsia="zh-CN"/>
              </w:rPr>
              <w:t>、电线电缆等高技术高价值环节</w:t>
            </w:r>
            <w:r>
              <w:rPr>
                <w:rFonts w:hint="default" w:ascii="Times New Roman" w:hAnsi="Times New Roman" w:eastAsia="仿宋_GB2312" w:cs="Times New Roman"/>
                <w:sz w:val="32"/>
                <w:szCs w:val="32"/>
              </w:rPr>
              <w:t>，发展航天核心零部件及元器件制造业。</w:t>
            </w:r>
          </w:p>
        </w:tc>
        <w:tc>
          <w:tcPr>
            <w:tcW w:w="2551" w:type="dxa"/>
            <w:vAlign w:val="center"/>
          </w:tcPr>
          <w:p w14:paraId="36407A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江南集中区</w:t>
            </w:r>
          </w:p>
          <w:p w14:paraId="18F84E1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市开发区</w:t>
            </w:r>
          </w:p>
          <w:p w14:paraId="08AEEF4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eastAsia="zh-CN"/>
              </w:rPr>
              <w:t>青阳县</w:t>
            </w:r>
          </w:p>
        </w:tc>
        <w:tc>
          <w:tcPr>
            <w:tcW w:w="2551" w:type="dxa"/>
            <w:vAlign w:val="center"/>
          </w:tcPr>
          <w:p w14:paraId="67126B54">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市发改委</w:t>
            </w:r>
          </w:p>
          <w:p w14:paraId="1128E50D">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市科技局</w:t>
            </w:r>
          </w:p>
          <w:p w14:paraId="56296C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市工信局</w:t>
            </w:r>
          </w:p>
        </w:tc>
      </w:tr>
      <w:tr w14:paraId="1C6F0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8" w:hRule="atLeast"/>
          <w:jc w:val="center"/>
        </w:trPr>
        <w:tc>
          <w:tcPr>
            <w:tcW w:w="1384" w:type="dxa"/>
            <w:vAlign w:val="center"/>
          </w:tcPr>
          <w:p w14:paraId="0BE941D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w:t>
            </w:r>
          </w:p>
        </w:tc>
        <w:tc>
          <w:tcPr>
            <w:tcW w:w="7937" w:type="dxa"/>
            <w:vAlign w:val="center"/>
          </w:tcPr>
          <w:p w14:paraId="75D9F5B6">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强化链主企业培育。</w:t>
            </w:r>
            <w:r>
              <w:rPr>
                <w:rFonts w:hint="default" w:ascii="Times New Roman" w:hAnsi="Times New Roman" w:cs="Times New Roman"/>
                <w:sz w:val="32"/>
                <w:szCs w:val="32"/>
                <w:lang w:eastAsia="zh-CN"/>
              </w:rPr>
              <w:t>支持</w:t>
            </w:r>
            <w:r>
              <w:rPr>
                <w:rFonts w:hint="default" w:ascii="Times New Roman" w:hAnsi="Times New Roman" w:eastAsia="仿宋_GB2312" w:cs="Times New Roman"/>
                <w:sz w:val="32"/>
                <w:szCs w:val="32"/>
              </w:rPr>
              <w:t>星河动力、航天易龙等头部</w:t>
            </w:r>
            <w:r>
              <w:rPr>
                <w:rFonts w:hint="default" w:ascii="Times New Roman" w:hAnsi="Times New Roman" w:cs="Times New Roman"/>
                <w:sz w:val="32"/>
                <w:szCs w:val="32"/>
                <w:lang w:eastAsia="zh-CN"/>
              </w:rPr>
              <w:t>领军</w:t>
            </w:r>
            <w:r>
              <w:rPr>
                <w:rFonts w:hint="default" w:ascii="Times New Roman" w:hAnsi="Times New Roman" w:eastAsia="仿宋_GB2312" w:cs="Times New Roman"/>
                <w:sz w:val="32"/>
                <w:szCs w:val="32"/>
              </w:rPr>
              <w:t>企业，做大做强，发挥其龙头带动作用；鼓励和引导本地中小企业与龙头骨干企业开展多种形式的经济技术合作，建立稳定的供应、生产、销售等协作、配套关系，提高专业化协作水平；鼓励龙头骨干企业将配套中小企业纳入共同的供应链管理、质量管理、标准管理、合作研发管理等，提升专业化协作和配套能力。</w:t>
            </w:r>
          </w:p>
        </w:tc>
        <w:tc>
          <w:tcPr>
            <w:tcW w:w="2551" w:type="dxa"/>
            <w:vAlign w:val="center"/>
          </w:tcPr>
          <w:p w14:paraId="0F4EDF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市工信局</w:t>
            </w:r>
          </w:p>
        </w:tc>
        <w:tc>
          <w:tcPr>
            <w:tcW w:w="2551" w:type="dxa"/>
            <w:vAlign w:val="center"/>
          </w:tcPr>
          <w:p w14:paraId="2B7C466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江南集中区</w:t>
            </w:r>
          </w:p>
          <w:p w14:paraId="567AC6F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市发改委</w:t>
            </w:r>
          </w:p>
        </w:tc>
      </w:tr>
      <w:tr w14:paraId="447B0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vAlign w:val="center"/>
          </w:tcPr>
          <w:p w14:paraId="67A59E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8</w:t>
            </w:r>
          </w:p>
        </w:tc>
        <w:tc>
          <w:tcPr>
            <w:tcW w:w="7937" w:type="dxa"/>
            <w:vAlign w:val="center"/>
          </w:tcPr>
          <w:p w14:paraId="7B442860">
            <w:pPr>
              <w:keepNext w:val="0"/>
              <w:keepLines w:val="0"/>
              <w:pageBreakBefore w:val="0"/>
              <w:widowControl w:val="0"/>
              <w:kinsoku/>
              <w:wordWrap/>
              <w:overflowPunct/>
              <w:topLinePunct w:val="0"/>
              <w:autoSpaceDE/>
              <w:autoSpaceDN/>
              <w:bidi w:val="0"/>
              <w:adjustRightInd/>
              <w:snapToGrid/>
              <w:spacing w:line="50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加快头部企业招引</w:t>
            </w:r>
            <w:r>
              <w:rPr>
                <w:rFonts w:hint="default" w:ascii="Times New Roman" w:hAnsi="Times New Roman" w:cs="Times New Roman"/>
                <w:sz w:val="32"/>
                <w:szCs w:val="32"/>
                <w:lang w:val="en-US" w:eastAsia="zh-CN"/>
              </w:rPr>
              <w:t>。围绕产业链全景图，立足补链、延链、强链建立池州市商业航天产业重点引进类和鼓励类项目目录清单和重点目标企业项目库，围绕发挥现有商业航天企业引领带动作用，积极争取重大项目落户池州，吸引其配套知名企业入驻池州。</w:t>
            </w:r>
          </w:p>
        </w:tc>
        <w:tc>
          <w:tcPr>
            <w:tcW w:w="2551" w:type="dxa"/>
            <w:vAlign w:val="center"/>
          </w:tcPr>
          <w:p w14:paraId="2C2BD1B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市投资促进局</w:t>
            </w:r>
          </w:p>
        </w:tc>
        <w:tc>
          <w:tcPr>
            <w:tcW w:w="2551" w:type="dxa"/>
            <w:vAlign w:val="center"/>
          </w:tcPr>
          <w:p w14:paraId="6F78A66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江南集中区</w:t>
            </w:r>
          </w:p>
          <w:p w14:paraId="19F520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市开发区</w:t>
            </w:r>
          </w:p>
          <w:p w14:paraId="172D266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lang w:eastAsia="zh-CN"/>
              </w:rPr>
            </w:pPr>
            <w:r>
              <w:rPr>
                <w:rFonts w:hint="default" w:ascii="Times New Roman" w:hAnsi="Times New Roman" w:cs="Times New Roman"/>
                <w:sz w:val="32"/>
                <w:szCs w:val="32"/>
                <w:lang w:eastAsia="zh-CN"/>
              </w:rPr>
              <w:t>青阳县</w:t>
            </w:r>
          </w:p>
        </w:tc>
      </w:tr>
      <w:tr w14:paraId="0FA6C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vAlign w:val="center"/>
          </w:tcPr>
          <w:p w14:paraId="75D199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9</w:t>
            </w:r>
          </w:p>
        </w:tc>
        <w:tc>
          <w:tcPr>
            <w:tcW w:w="7937" w:type="dxa"/>
            <w:vAlign w:val="center"/>
          </w:tcPr>
          <w:p w14:paraId="30846C27">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强化资金扶持。鼓励商业航天企业加大科技研发、项目攻关和成果转化投入力度，政府给予专项资金扶持，有效整合研发、建设、运营等各环节力量，推动形成全链条创新机制；对于投资金额大、产业关联度大、技术含量高、创税能力强，有重大影响和特殊推动作用的大型投资项目，可对上争取专项政策支持。</w:t>
            </w:r>
          </w:p>
        </w:tc>
        <w:tc>
          <w:tcPr>
            <w:tcW w:w="2551" w:type="dxa"/>
            <w:vAlign w:val="center"/>
          </w:tcPr>
          <w:p w14:paraId="6A320B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江南集中区</w:t>
            </w:r>
          </w:p>
        </w:tc>
        <w:tc>
          <w:tcPr>
            <w:tcW w:w="2551" w:type="dxa"/>
            <w:vAlign w:val="center"/>
          </w:tcPr>
          <w:p w14:paraId="0A62FA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市发改委</w:t>
            </w:r>
          </w:p>
          <w:p w14:paraId="2AAFBA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市工信局</w:t>
            </w:r>
          </w:p>
          <w:p w14:paraId="0A8190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lang w:eastAsia="zh-CN"/>
              </w:rPr>
            </w:pPr>
            <w:r>
              <w:rPr>
                <w:rFonts w:hint="default" w:ascii="Times New Roman" w:hAnsi="Times New Roman" w:cs="Times New Roman"/>
                <w:sz w:val="32"/>
                <w:szCs w:val="32"/>
                <w:lang w:eastAsia="zh-CN"/>
              </w:rPr>
              <w:t>市财政局</w:t>
            </w:r>
          </w:p>
        </w:tc>
      </w:tr>
      <w:tr w14:paraId="6736F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vAlign w:val="center"/>
          </w:tcPr>
          <w:p w14:paraId="2C9663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10</w:t>
            </w:r>
          </w:p>
        </w:tc>
        <w:tc>
          <w:tcPr>
            <w:tcW w:w="7937" w:type="dxa"/>
            <w:vAlign w:val="center"/>
          </w:tcPr>
          <w:p w14:paraId="646AB1ED">
            <w:pPr>
              <w:keepNext w:val="0"/>
              <w:keepLines w:val="0"/>
              <w:pageBreakBefore w:val="0"/>
              <w:widowControl w:val="0"/>
              <w:kinsoku/>
              <w:wordWrap/>
              <w:overflowPunct/>
              <w:topLinePunct w:val="0"/>
              <w:autoSpaceDE/>
              <w:autoSpaceDN/>
              <w:bidi w:val="0"/>
              <w:adjustRightInd/>
              <w:snapToGrid/>
              <w:spacing w:line="50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强化金融服务。</w:t>
            </w:r>
            <w:r>
              <w:rPr>
                <w:rFonts w:hint="default" w:ascii="Times New Roman" w:hAnsi="Times New Roman" w:eastAsia="仿宋_GB2312" w:cs="Times New Roman"/>
                <w:sz w:val="32"/>
                <w:szCs w:val="32"/>
              </w:rPr>
              <w:t>鼓励和支持社会资本面向</w:t>
            </w:r>
            <w:r>
              <w:rPr>
                <w:rFonts w:hint="default" w:ascii="Times New Roman" w:hAnsi="Times New Roman" w:cs="Times New Roman"/>
                <w:sz w:val="32"/>
                <w:szCs w:val="32"/>
                <w:lang w:eastAsia="zh-CN"/>
              </w:rPr>
              <w:t>池州市</w:t>
            </w:r>
            <w:r>
              <w:rPr>
                <w:rFonts w:hint="default" w:ascii="Times New Roman" w:hAnsi="Times New Roman" w:eastAsia="仿宋_GB2312" w:cs="Times New Roman"/>
                <w:sz w:val="32"/>
                <w:szCs w:val="32"/>
              </w:rPr>
              <w:t>商业航天产业，采取设立种子基金、天使基金等形式，根据企业实际情况提供定制化金融服务</w:t>
            </w:r>
            <w:r>
              <w:rPr>
                <w:rFonts w:hint="default" w:ascii="Times New Roman" w:hAnsi="Times New Roman" w:cs="Times New Roman"/>
                <w:sz w:val="32"/>
                <w:szCs w:val="32"/>
                <w:lang w:val="en-US" w:eastAsia="zh-CN"/>
              </w:rPr>
              <w:t>；推动设立商业航天产业投资基金，加大对商业航天全产业链、全生命周期的投资力度。</w:t>
            </w:r>
          </w:p>
        </w:tc>
        <w:tc>
          <w:tcPr>
            <w:tcW w:w="2551" w:type="dxa"/>
            <w:vAlign w:val="center"/>
          </w:tcPr>
          <w:p w14:paraId="6F7CF0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江南集中区</w:t>
            </w:r>
          </w:p>
        </w:tc>
        <w:tc>
          <w:tcPr>
            <w:tcW w:w="2551" w:type="dxa"/>
            <w:vAlign w:val="center"/>
          </w:tcPr>
          <w:p w14:paraId="65E38C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lang w:eastAsia="zh-CN"/>
              </w:rPr>
            </w:pPr>
            <w:r>
              <w:rPr>
                <w:rFonts w:hint="default" w:ascii="Times New Roman" w:hAnsi="Times New Roman" w:cs="Times New Roman"/>
                <w:sz w:val="32"/>
                <w:szCs w:val="32"/>
                <w:lang w:eastAsia="zh-CN"/>
              </w:rPr>
              <w:t>市投控集团</w:t>
            </w:r>
          </w:p>
        </w:tc>
      </w:tr>
      <w:tr w14:paraId="65F52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vAlign w:val="center"/>
          </w:tcPr>
          <w:p w14:paraId="1A1C5C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11</w:t>
            </w:r>
          </w:p>
        </w:tc>
        <w:tc>
          <w:tcPr>
            <w:tcW w:w="7937" w:type="dxa"/>
            <w:vAlign w:val="center"/>
          </w:tcPr>
          <w:p w14:paraId="088149EB">
            <w:pPr>
              <w:keepNext w:val="0"/>
              <w:keepLines w:val="0"/>
              <w:pageBreakBefore w:val="0"/>
              <w:widowControl w:val="0"/>
              <w:kinsoku/>
              <w:wordWrap/>
              <w:overflowPunct/>
              <w:topLinePunct w:val="0"/>
              <w:autoSpaceDE/>
              <w:autoSpaceDN/>
              <w:bidi w:val="0"/>
              <w:adjustRightInd/>
              <w:snapToGrid/>
              <w:spacing w:line="50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强化人才</w:t>
            </w:r>
            <w:r>
              <w:rPr>
                <w:rFonts w:hint="default" w:ascii="Times New Roman" w:hAnsi="Times New Roman" w:cs="Times New Roman"/>
                <w:sz w:val="32"/>
                <w:szCs w:val="32"/>
                <w:lang w:eastAsia="zh-CN"/>
              </w:rPr>
              <w:t>引育。联合商业航天企业</w:t>
            </w:r>
            <w:r>
              <w:rPr>
                <w:rFonts w:hint="default" w:ascii="Times New Roman" w:hAnsi="Times New Roman" w:eastAsia="仿宋_GB2312" w:cs="Times New Roman"/>
                <w:i w:val="0"/>
                <w:caps w:val="0"/>
                <w:color w:val="000000"/>
                <w:spacing w:val="0"/>
                <w:kern w:val="0"/>
                <w:sz w:val="32"/>
                <w:szCs w:val="32"/>
                <w:shd w:val="clear" w:color="auto" w:fill="FFFFFF"/>
                <w:lang w:val="en-US" w:eastAsia="zh-CN" w:bidi="ar"/>
              </w:rPr>
              <w:t>制定高层次人才、紧缺人才、专业人才招引目录，</w:t>
            </w:r>
            <w:r>
              <w:rPr>
                <w:rFonts w:hint="default" w:ascii="Times New Roman" w:hAnsi="Times New Roman" w:cs="Times New Roman"/>
                <w:i w:val="0"/>
                <w:caps w:val="0"/>
                <w:color w:val="000000"/>
                <w:spacing w:val="0"/>
                <w:kern w:val="0"/>
                <w:sz w:val="32"/>
                <w:szCs w:val="32"/>
                <w:shd w:val="clear" w:color="auto" w:fill="FFFFFF"/>
                <w:lang w:val="en-US" w:eastAsia="zh-CN" w:bidi="ar"/>
              </w:rPr>
              <w:t>持续实施“万马奔池”人才计划</w:t>
            </w:r>
            <w:r>
              <w:rPr>
                <w:rFonts w:hint="default" w:ascii="Times New Roman" w:hAnsi="Times New Roman" w:eastAsia="仿宋_GB2312" w:cs="Times New Roman"/>
                <w:i w:val="0"/>
                <w:caps w:val="0"/>
                <w:color w:val="000000"/>
                <w:spacing w:val="0"/>
                <w:kern w:val="0"/>
                <w:sz w:val="32"/>
                <w:szCs w:val="32"/>
                <w:shd w:val="clear" w:color="auto" w:fill="FFFFFF"/>
                <w:lang w:val="en-US" w:eastAsia="zh-CN" w:bidi="ar"/>
              </w:rPr>
              <w:t>，加大海内外高层次人才引进，</w:t>
            </w:r>
            <w:r>
              <w:rPr>
                <w:rFonts w:hint="default" w:ascii="Times New Roman" w:hAnsi="Times New Roman" w:cs="Times New Roman"/>
                <w:i w:val="0"/>
                <w:caps w:val="0"/>
                <w:color w:val="000000"/>
                <w:spacing w:val="0"/>
                <w:kern w:val="0"/>
                <w:sz w:val="32"/>
                <w:szCs w:val="32"/>
                <w:shd w:val="clear" w:color="auto" w:fill="FFFFFF"/>
                <w:lang w:val="en-US" w:eastAsia="zh-CN" w:bidi="ar"/>
              </w:rPr>
              <w:t>提升</w:t>
            </w:r>
            <w:r>
              <w:rPr>
                <w:rFonts w:hint="default" w:ascii="Times New Roman" w:hAnsi="Times New Roman" w:eastAsia="仿宋_GB2312" w:cs="Times New Roman"/>
                <w:i w:val="0"/>
                <w:caps w:val="0"/>
                <w:color w:val="000000"/>
                <w:spacing w:val="0"/>
                <w:kern w:val="0"/>
                <w:sz w:val="32"/>
                <w:szCs w:val="32"/>
                <w:shd w:val="clear" w:color="auto" w:fill="FFFFFF"/>
                <w:lang w:val="en-US" w:eastAsia="zh-CN" w:bidi="ar"/>
              </w:rPr>
              <w:t>人才落户、住房安居、子女入学等方面保障力度</w:t>
            </w:r>
            <w:r>
              <w:rPr>
                <w:rFonts w:hint="default" w:ascii="Times New Roman" w:hAnsi="Times New Roman" w:cs="Times New Roman"/>
                <w:i w:val="0"/>
                <w:caps w:val="0"/>
                <w:color w:val="000000"/>
                <w:spacing w:val="0"/>
                <w:kern w:val="0"/>
                <w:sz w:val="32"/>
                <w:szCs w:val="32"/>
                <w:shd w:val="clear" w:color="auto" w:fill="FFFFFF"/>
                <w:lang w:val="en-US" w:eastAsia="zh-CN" w:bidi="ar"/>
              </w:rPr>
              <w:t>。</w:t>
            </w:r>
          </w:p>
        </w:tc>
        <w:tc>
          <w:tcPr>
            <w:tcW w:w="2551" w:type="dxa"/>
            <w:vAlign w:val="center"/>
          </w:tcPr>
          <w:p w14:paraId="29DC96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市人社局</w:t>
            </w:r>
          </w:p>
        </w:tc>
        <w:tc>
          <w:tcPr>
            <w:tcW w:w="2551" w:type="dxa"/>
            <w:vAlign w:val="center"/>
          </w:tcPr>
          <w:p w14:paraId="50BABD5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市委人才工作局</w:t>
            </w:r>
          </w:p>
        </w:tc>
      </w:tr>
      <w:tr w14:paraId="00AF1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vAlign w:val="center"/>
          </w:tcPr>
          <w:p w14:paraId="00E8D1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12</w:t>
            </w:r>
          </w:p>
        </w:tc>
        <w:tc>
          <w:tcPr>
            <w:tcW w:w="7937" w:type="dxa"/>
            <w:vAlign w:val="center"/>
          </w:tcPr>
          <w:p w14:paraId="4F212580">
            <w:pPr>
              <w:keepNext w:val="0"/>
              <w:keepLines w:val="0"/>
              <w:pageBreakBefore w:val="0"/>
              <w:widowControl w:val="0"/>
              <w:kinsoku/>
              <w:wordWrap/>
              <w:overflowPunct/>
              <w:topLinePunct w:val="0"/>
              <w:autoSpaceDE/>
              <w:autoSpaceDN/>
              <w:bidi w:val="0"/>
              <w:adjustRightInd/>
              <w:snapToGrid/>
              <w:spacing w:line="500" w:lineRule="exact"/>
              <w:ind w:firstLine="0" w:firstLineChars="0"/>
              <w:jc w:val="left"/>
              <w:textAlignment w:val="auto"/>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强化场景创新。编制商业航天应用场景清单，对池州市航天资源全方位梳理，主动发现新技术、新产品和新模式；针对产品需求、服务需求、技术需求向业内展示成果，为市场合作提供便利条件；强化清单成果运用，促进政企间、企业间供需信息精准对接，推动商业航天产业与生产生活和城市治理深度融合。</w:t>
            </w:r>
          </w:p>
        </w:tc>
        <w:tc>
          <w:tcPr>
            <w:tcW w:w="2551" w:type="dxa"/>
            <w:vAlign w:val="center"/>
          </w:tcPr>
          <w:p w14:paraId="2D86712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lang w:eastAsia="zh-CN"/>
              </w:rPr>
            </w:pPr>
            <w:r>
              <w:rPr>
                <w:rFonts w:hint="default" w:ascii="Times New Roman" w:hAnsi="Times New Roman" w:cs="Times New Roman"/>
                <w:sz w:val="32"/>
                <w:szCs w:val="32"/>
                <w:lang w:eastAsia="zh-CN"/>
              </w:rPr>
              <w:t>市工信局</w:t>
            </w:r>
          </w:p>
        </w:tc>
        <w:tc>
          <w:tcPr>
            <w:tcW w:w="2551" w:type="dxa"/>
            <w:vAlign w:val="center"/>
          </w:tcPr>
          <w:p w14:paraId="05AD59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sz w:val="32"/>
                <w:szCs w:val="32"/>
                <w:lang w:eastAsia="zh-CN"/>
              </w:rPr>
            </w:pPr>
            <w:r>
              <w:rPr>
                <w:rFonts w:hint="default" w:ascii="Times New Roman" w:hAnsi="Times New Roman" w:cs="Times New Roman"/>
                <w:lang w:eastAsia="zh-CN"/>
              </w:rPr>
              <w:t>江</w:t>
            </w:r>
            <w:r>
              <w:rPr>
                <w:rFonts w:hint="default" w:ascii="Times New Roman" w:hAnsi="Times New Roman" w:cs="Times New Roman"/>
                <w:sz w:val="32"/>
                <w:szCs w:val="32"/>
                <w:lang w:eastAsia="zh-CN"/>
              </w:rPr>
              <w:t>南集中区</w:t>
            </w:r>
          </w:p>
          <w:p w14:paraId="65C69A5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cs="Times New Roman"/>
              </w:rPr>
            </w:pPr>
            <w:r>
              <w:rPr>
                <w:rFonts w:hint="default" w:ascii="Times New Roman" w:hAnsi="Times New Roman" w:cs="Times New Roman"/>
                <w:sz w:val="32"/>
                <w:szCs w:val="32"/>
                <w:lang w:eastAsia="zh-CN"/>
              </w:rPr>
              <w:t>市发改委</w:t>
            </w:r>
          </w:p>
        </w:tc>
      </w:tr>
    </w:tbl>
    <w:p w14:paraId="404C0956">
      <w:pPr>
        <w:tabs>
          <w:tab w:val="left" w:pos="1649"/>
        </w:tabs>
        <w:jc w:val="left"/>
        <w:rPr>
          <w:rFonts w:hint="default" w:ascii="Times New Roman" w:hAnsi="Times New Roman" w:eastAsia="仿宋_GB2312" w:cs="Times New Roman"/>
          <w:sz w:val="32"/>
          <w:szCs w:val="32"/>
          <w:lang w:eastAsia="zh-CN"/>
        </w:rPr>
      </w:pPr>
    </w:p>
    <w:sectPr>
      <w:pgSz w:w="16838" w:h="11906" w:orient="landscape"/>
      <w:pgMar w:top="1797" w:right="1440" w:bottom="1797" w:left="1440" w:header="851" w:footer="992" w:gutter="0"/>
      <w:cols w:space="0" w:num="1"/>
      <w:rtlGutter w:val="0"/>
      <w:docGrid w:type="lines" w:linePitch="43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2B322">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29D7372">
                          <w:pPr>
                            <w:pStyle w:val="5"/>
                          </w:pPr>
                          <w:r>
                            <w:fldChar w:fldCharType="begin"/>
                          </w:r>
                          <w:r>
                            <w:instrText xml:space="preserve"> PAGE  \* MERGEFORMAT </w:instrText>
                          </w:r>
                          <w:r>
                            <w:fldChar w:fldCharType="separate"/>
                          </w:r>
                          <w:r>
                            <w:t>19</w:t>
                          </w:r>
                          <w: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129D7372">
                    <w:pPr>
                      <w:pStyle w:val="5"/>
                    </w:pPr>
                    <w:r>
                      <w:fldChar w:fldCharType="begin"/>
                    </w:r>
                    <w:r>
                      <w:instrText xml:space="preserve"> PAGE  \* MERGEFORMAT </w:instrText>
                    </w:r>
                    <w:r>
                      <w:fldChar w:fldCharType="separate"/>
                    </w:r>
                    <w:r>
                      <w:t>19</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219"/>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wYTVjNDA0ZjIwODhjODliZDgxMTJiMWIyNjBlYzgifQ=="/>
  </w:docVars>
  <w:rsids>
    <w:rsidRoot w:val="00172A27"/>
    <w:rsid w:val="00005925"/>
    <w:rsid w:val="00007B2A"/>
    <w:rsid w:val="00012F03"/>
    <w:rsid w:val="000143B5"/>
    <w:rsid w:val="000224F4"/>
    <w:rsid w:val="000466EE"/>
    <w:rsid w:val="00057CFC"/>
    <w:rsid w:val="00081A85"/>
    <w:rsid w:val="00085824"/>
    <w:rsid w:val="000A7EC2"/>
    <w:rsid w:val="00114F1F"/>
    <w:rsid w:val="00133FDF"/>
    <w:rsid w:val="0013476F"/>
    <w:rsid w:val="00153199"/>
    <w:rsid w:val="00172A27"/>
    <w:rsid w:val="001A1AA2"/>
    <w:rsid w:val="001A3177"/>
    <w:rsid w:val="001A6F82"/>
    <w:rsid w:val="001E055A"/>
    <w:rsid w:val="001E1EB6"/>
    <w:rsid w:val="001E6523"/>
    <w:rsid w:val="00213B75"/>
    <w:rsid w:val="00214E41"/>
    <w:rsid w:val="002230F8"/>
    <w:rsid w:val="00234B10"/>
    <w:rsid w:val="0026053D"/>
    <w:rsid w:val="00293225"/>
    <w:rsid w:val="00294545"/>
    <w:rsid w:val="00296865"/>
    <w:rsid w:val="002A23F8"/>
    <w:rsid w:val="002B44FE"/>
    <w:rsid w:val="002C385F"/>
    <w:rsid w:val="002F13BA"/>
    <w:rsid w:val="002F3302"/>
    <w:rsid w:val="00302395"/>
    <w:rsid w:val="003059B8"/>
    <w:rsid w:val="003134A4"/>
    <w:rsid w:val="00333F7E"/>
    <w:rsid w:val="003A5E9B"/>
    <w:rsid w:val="003B0380"/>
    <w:rsid w:val="003B3B0A"/>
    <w:rsid w:val="003B4E8E"/>
    <w:rsid w:val="003B5B3F"/>
    <w:rsid w:val="003D3F26"/>
    <w:rsid w:val="003E361D"/>
    <w:rsid w:val="00437CC6"/>
    <w:rsid w:val="0044515F"/>
    <w:rsid w:val="00486CD5"/>
    <w:rsid w:val="00491048"/>
    <w:rsid w:val="004A1BAE"/>
    <w:rsid w:val="004A558B"/>
    <w:rsid w:val="004B40DC"/>
    <w:rsid w:val="004D28F9"/>
    <w:rsid w:val="004D7064"/>
    <w:rsid w:val="004F40C0"/>
    <w:rsid w:val="00506D34"/>
    <w:rsid w:val="005156C5"/>
    <w:rsid w:val="005223D8"/>
    <w:rsid w:val="00547AC3"/>
    <w:rsid w:val="0055100E"/>
    <w:rsid w:val="00564D7E"/>
    <w:rsid w:val="00595E78"/>
    <w:rsid w:val="005B1712"/>
    <w:rsid w:val="005C0CD9"/>
    <w:rsid w:val="005C20B7"/>
    <w:rsid w:val="00607B52"/>
    <w:rsid w:val="00626B6F"/>
    <w:rsid w:val="0066035A"/>
    <w:rsid w:val="00667231"/>
    <w:rsid w:val="0069473F"/>
    <w:rsid w:val="00696A95"/>
    <w:rsid w:val="006A1C10"/>
    <w:rsid w:val="006D21BD"/>
    <w:rsid w:val="006E1509"/>
    <w:rsid w:val="007128C4"/>
    <w:rsid w:val="00722778"/>
    <w:rsid w:val="0074474E"/>
    <w:rsid w:val="00761A36"/>
    <w:rsid w:val="007A45A8"/>
    <w:rsid w:val="007B0D82"/>
    <w:rsid w:val="007B4598"/>
    <w:rsid w:val="007B4CA1"/>
    <w:rsid w:val="007B67CA"/>
    <w:rsid w:val="007B7EA7"/>
    <w:rsid w:val="007F785B"/>
    <w:rsid w:val="00800142"/>
    <w:rsid w:val="00815761"/>
    <w:rsid w:val="00855E41"/>
    <w:rsid w:val="008A2EBD"/>
    <w:rsid w:val="008A3EF0"/>
    <w:rsid w:val="008C2AC5"/>
    <w:rsid w:val="008C6A75"/>
    <w:rsid w:val="008F0CE0"/>
    <w:rsid w:val="00935FE9"/>
    <w:rsid w:val="009518AC"/>
    <w:rsid w:val="00956E0B"/>
    <w:rsid w:val="00973285"/>
    <w:rsid w:val="00A038F3"/>
    <w:rsid w:val="00A3336D"/>
    <w:rsid w:val="00A35C0B"/>
    <w:rsid w:val="00A749B5"/>
    <w:rsid w:val="00A820BD"/>
    <w:rsid w:val="00A82375"/>
    <w:rsid w:val="00A835F0"/>
    <w:rsid w:val="00A84184"/>
    <w:rsid w:val="00A860C4"/>
    <w:rsid w:val="00AD3ABD"/>
    <w:rsid w:val="00AF10C7"/>
    <w:rsid w:val="00B24D0C"/>
    <w:rsid w:val="00B31D37"/>
    <w:rsid w:val="00B41E35"/>
    <w:rsid w:val="00B454E0"/>
    <w:rsid w:val="00B55068"/>
    <w:rsid w:val="00B765FC"/>
    <w:rsid w:val="00B971B3"/>
    <w:rsid w:val="00BA19F5"/>
    <w:rsid w:val="00BB3FDC"/>
    <w:rsid w:val="00BB761E"/>
    <w:rsid w:val="00BC16C5"/>
    <w:rsid w:val="00BF5FFC"/>
    <w:rsid w:val="00C4175C"/>
    <w:rsid w:val="00C43787"/>
    <w:rsid w:val="00C439DD"/>
    <w:rsid w:val="00C51AE5"/>
    <w:rsid w:val="00C64E0D"/>
    <w:rsid w:val="00C66B2D"/>
    <w:rsid w:val="00C7315A"/>
    <w:rsid w:val="00CA4AC2"/>
    <w:rsid w:val="00CB3F5F"/>
    <w:rsid w:val="00CC5132"/>
    <w:rsid w:val="00CE0FAB"/>
    <w:rsid w:val="00D00525"/>
    <w:rsid w:val="00D37BB1"/>
    <w:rsid w:val="00D4477B"/>
    <w:rsid w:val="00D9614D"/>
    <w:rsid w:val="00DA645C"/>
    <w:rsid w:val="00DA737D"/>
    <w:rsid w:val="00DD7917"/>
    <w:rsid w:val="00DF0A95"/>
    <w:rsid w:val="00DF1F67"/>
    <w:rsid w:val="00DF396E"/>
    <w:rsid w:val="00E51CAA"/>
    <w:rsid w:val="00E52333"/>
    <w:rsid w:val="00E55B2E"/>
    <w:rsid w:val="00E666E8"/>
    <w:rsid w:val="00EA3A4A"/>
    <w:rsid w:val="00EC21AD"/>
    <w:rsid w:val="00EE4466"/>
    <w:rsid w:val="00F13EDD"/>
    <w:rsid w:val="00F14312"/>
    <w:rsid w:val="00F27EE2"/>
    <w:rsid w:val="00F524D2"/>
    <w:rsid w:val="00F55640"/>
    <w:rsid w:val="00F64DD5"/>
    <w:rsid w:val="00F659CA"/>
    <w:rsid w:val="00F71E82"/>
    <w:rsid w:val="00F723A5"/>
    <w:rsid w:val="00F7379E"/>
    <w:rsid w:val="00F74D66"/>
    <w:rsid w:val="00F93EBF"/>
    <w:rsid w:val="00FC2442"/>
    <w:rsid w:val="00FD0AE3"/>
    <w:rsid w:val="00FD16AD"/>
    <w:rsid w:val="00FE0976"/>
    <w:rsid w:val="00FE442A"/>
    <w:rsid w:val="02730EEB"/>
    <w:rsid w:val="04563929"/>
    <w:rsid w:val="05AC3349"/>
    <w:rsid w:val="0B691233"/>
    <w:rsid w:val="0C2A3FD2"/>
    <w:rsid w:val="136831D4"/>
    <w:rsid w:val="141E4F1D"/>
    <w:rsid w:val="17197B53"/>
    <w:rsid w:val="17B63112"/>
    <w:rsid w:val="17E66CA6"/>
    <w:rsid w:val="1AB207F1"/>
    <w:rsid w:val="1EB47AA8"/>
    <w:rsid w:val="20092A27"/>
    <w:rsid w:val="23725D57"/>
    <w:rsid w:val="28A23848"/>
    <w:rsid w:val="28B673DC"/>
    <w:rsid w:val="2DFB00C7"/>
    <w:rsid w:val="2FF3237B"/>
    <w:rsid w:val="30C64250"/>
    <w:rsid w:val="3283334C"/>
    <w:rsid w:val="33231F18"/>
    <w:rsid w:val="38B6310B"/>
    <w:rsid w:val="3F0E4E1B"/>
    <w:rsid w:val="3F803D0E"/>
    <w:rsid w:val="42471B37"/>
    <w:rsid w:val="43C3693D"/>
    <w:rsid w:val="47BF3699"/>
    <w:rsid w:val="4E2139D9"/>
    <w:rsid w:val="51F64CB1"/>
    <w:rsid w:val="545C1655"/>
    <w:rsid w:val="57FF9A26"/>
    <w:rsid w:val="5B5408CD"/>
    <w:rsid w:val="5B8B366B"/>
    <w:rsid w:val="5C403715"/>
    <w:rsid w:val="5F7E529D"/>
    <w:rsid w:val="5FCF2C2F"/>
    <w:rsid w:val="62FE4D81"/>
    <w:rsid w:val="64B849EF"/>
    <w:rsid w:val="682A4608"/>
    <w:rsid w:val="69ED4C12"/>
    <w:rsid w:val="73734595"/>
    <w:rsid w:val="774732AD"/>
    <w:rsid w:val="77F71EA5"/>
    <w:rsid w:val="7A6335B5"/>
    <w:rsid w:val="7B0A1C83"/>
    <w:rsid w:val="7B3311D9"/>
    <w:rsid w:val="7BFE6840"/>
    <w:rsid w:val="7DFE7056"/>
    <w:rsid w:val="7DFFA710"/>
    <w:rsid w:val="AFF86EA0"/>
    <w:rsid w:val="B6D20CB0"/>
    <w:rsid w:val="BBFF92F7"/>
    <w:rsid w:val="CFE77E02"/>
    <w:rsid w:val="ED3F8F5E"/>
    <w:rsid w:val="EFFE3E9D"/>
    <w:rsid w:val="F5FB7724"/>
    <w:rsid w:val="F7FB3662"/>
    <w:rsid w:val="F95DBA95"/>
    <w:rsid w:val="FBBF9210"/>
    <w:rsid w:val="FBEB30E0"/>
    <w:rsid w:val="FD65D03C"/>
    <w:rsid w:val="FDBF992A"/>
    <w:rsid w:val="FF8A4FD4"/>
    <w:rsid w:val="FFBD67BD"/>
    <w:rsid w:val="FFFF2E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仿宋_GB2312" w:eastAsia="仿宋_GB2312" w:cstheme="minorBidi"/>
      <w:kern w:val="2"/>
      <w:sz w:val="32"/>
      <w:szCs w:val="22"/>
      <w:lang w:val="en-US" w:eastAsia="zh-CN" w:bidi="ar-SA"/>
    </w:rPr>
  </w:style>
  <w:style w:type="paragraph" w:styleId="3">
    <w:name w:val="heading 1"/>
    <w:next w:val="1"/>
    <w:unhideWhenUsed/>
    <w:qFormat/>
    <w:uiPriority w:val="9"/>
    <w:pPr>
      <w:keepNext/>
      <w:keepLines/>
      <w:spacing w:after="260" w:line="259" w:lineRule="auto"/>
      <w:ind w:left="651" w:hanging="10"/>
      <w:jc w:val="center"/>
      <w:outlineLvl w:val="0"/>
    </w:pPr>
    <w:rPr>
      <w:rFonts w:ascii="微软雅黑" w:hAnsi="微软雅黑" w:eastAsia="微软雅黑" w:cs="微软雅黑"/>
      <w:color w:val="000000"/>
      <w:sz w:val="32"/>
      <w:szCs w:val="22"/>
      <w:lang w:val="en-US" w:eastAsia="en-US" w:bidi="ar-SA"/>
    </w:rPr>
  </w:style>
  <w:style w:type="paragraph" w:styleId="2">
    <w:name w:val="heading 2"/>
    <w:basedOn w:val="1"/>
    <w:next w:val="1"/>
    <w:semiHidden/>
    <w:unhideWhenUsed/>
    <w:qFormat/>
    <w:uiPriority w:val="9"/>
    <w:pPr>
      <w:keepNext/>
      <w:keepLines/>
      <w:spacing w:beforeLines="0" w:beforeAutospacing="0" w:afterLines="0" w:afterAutospacing="0" w:line="240" w:lineRule="auto"/>
      <w:ind w:firstLine="1680" w:firstLineChars="200"/>
      <w:outlineLvl w:val="1"/>
    </w:pPr>
    <w:rPr>
      <w:rFonts w:ascii="Times New Roman" w:hAnsi="Times New Roman" w:eastAsia="楷体_GB2312"/>
      <w:b/>
      <w:sz w:val="32"/>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7"/>
    <w:semiHidden/>
    <w:unhideWhenUsed/>
    <w:qFormat/>
    <w:uiPriority w:val="99"/>
    <w:rPr>
      <w:sz w:val="18"/>
      <w:szCs w:val="18"/>
    </w:rPr>
  </w:style>
  <w:style w:type="paragraph" w:styleId="5">
    <w:name w:val="footer"/>
    <w:basedOn w:val="1"/>
    <w:semiHidden/>
    <w:unhideWhenUsed/>
    <w:qFormat/>
    <w:uiPriority w:val="99"/>
    <w:pPr>
      <w:tabs>
        <w:tab w:val="center" w:pos="4153"/>
        <w:tab w:val="right" w:pos="8306"/>
      </w:tabs>
      <w:snapToGrid w:val="0"/>
      <w:jc w:val="left"/>
    </w:pPr>
    <w:rPr>
      <w:sz w:val="18"/>
    </w:rPr>
  </w:style>
  <w:style w:type="paragraph" w:styleId="6">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HTML Preformatted"/>
    <w:basedOn w:val="1"/>
    <w:link w:val="15"/>
    <w:unhideWhenUsed/>
    <w:qFormat/>
    <w:uiPriority w:val="99"/>
    <w:pPr>
      <w:jc w:val="left"/>
    </w:pPr>
    <w:rPr>
      <w:rFonts w:ascii="宋体" w:hAnsi="宋体" w:eastAsia="宋体" w:cs="宋体"/>
      <w:kern w:val="0"/>
      <w:sz w:val="24"/>
      <w:szCs w:val="24"/>
    </w:rPr>
  </w:style>
  <w:style w:type="paragraph" w:styleId="8">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22"/>
    <w:rPr>
      <w:b/>
      <w:bCs/>
    </w:rPr>
  </w:style>
  <w:style w:type="character" w:styleId="13">
    <w:name w:val="Emphasis"/>
    <w:basedOn w:val="11"/>
    <w:qFormat/>
    <w:uiPriority w:val="20"/>
    <w:rPr>
      <w:i/>
      <w:iCs/>
    </w:rPr>
  </w:style>
  <w:style w:type="character" w:styleId="14">
    <w:name w:val="Hyperlink"/>
    <w:basedOn w:val="11"/>
    <w:unhideWhenUsed/>
    <w:qFormat/>
    <w:uiPriority w:val="99"/>
    <w:rPr>
      <w:color w:val="0000FF" w:themeColor="hyperlink"/>
      <w:u w:val="single"/>
      <w14:textFill>
        <w14:solidFill>
          <w14:schemeClr w14:val="hlink"/>
        </w14:solidFill>
      </w14:textFill>
    </w:rPr>
  </w:style>
  <w:style w:type="character" w:customStyle="1" w:styleId="15">
    <w:name w:val="HTML 预设格式 Char"/>
    <w:basedOn w:val="11"/>
    <w:link w:val="7"/>
    <w:qFormat/>
    <w:uiPriority w:val="99"/>
    <w:rPr>
      <w:rFonts w:ascii="宋体" w:hAnsi="宋体" w:eastAsia="宋体" w:cs="宋体"/>
      <w:kern w:val="0"/>
      <w:sz w:val="24"/>
      <w:szCs w:val="24"/>
    </w:rPr>
  </w:style>
  <w:style w:type="paragraph" w:customStyle="1" w:styleId="16">
    <w:name w:val="BodyText"/>
    <w:basedOn w:val="1"/>
    <w:next w:val="1"/>
    <w:qFormat/>
    <w:uiPriority w:val="0"/>
    <w:pPr>
      <w:spacing w:before="100" w:beforeAutospacing="1" w:after="120"/>
    </w:pPr>
    <w:rPr>
      <w:rFonts w:ascii="Times New Roman" w:hAnsi="Times New Roman" w:eastAsia="宋体" w:cs="Times New Roman"/>
      <w:szCs w:val="21"/>
    </w:rPr>
  </w:style>
  <w:style w:type="character" w:customStyle="1" w:styleId="17">
    <w:name w:val="批注框文本 Char"/>
    <w:basedOn w:val="11"/>
    <w:link w:val="4"/>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4169</Words>
  <Characters>4229</Characters>
  <Lines>69</Lines>
  <Paragraphs>19</Paragraphs>
  <TotalTime>0</TotalTime>
  <ScaleCrop>false</ScaleCrop>
  <LinksUpToDate>false</LinksUpToDate>
  <CharactersWithSpaces>4230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2024-09-22T12:04:00Z</dcterms:created>
  <dc:creator>傅绪鹏</dc:creator>
  <cp:lastModifiedBy>馒头馊了</cp:lastModifiedBy>
  <cp:lastPrinted>2024-09-22T13:28:00Z</cp:lastPrinted>
  <dcterms:modified xsi:type="dcterms:W3CDTF">2024-11-18T08:54:05Z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081AC1A14832494498F8AC05F4BE5F03_13</vt:lpwstr>
  </property>
</Properties>
</file>