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C228DB">
      <w:pPr>
        <w:tabs>
          <w:tab w:val="left" w:pos="7740"/>
        </w:tabs>
        <w:spacing w:line="600" w:lineRule="exact"/>
        <w:rPr>
          <w:rFonts w:hint="eastAsia" w:ascii="黑体" w:hAnsi="宋体" w:eastAsia="黑体" w:cs="Arial"/>
          <w:b/>
          <w:bCs/>
          <w:color w:val="auto"/>
          <w:sz w:val="36"/>
          <w:szCs w:val="36"/>
          <w:highlight w:val="none"/>
        </w:rPr>
      </w:pPr>
    </w:p>
    <w:p w14:paraId="62A04080">
      <w:pPr>
        <w:tabs>
          <w:tab w:val="left" w:pos="7740"/>
        </w:tabs>
        <w:spacing w:line="600" w:lineRule="exact"/>
        <w:rPr>
          <w:rFonts w:hint="eastAsia" w:ascii="黑体" w:hAnsi="宋体" w:eastAsia="黑体" w:cs="Arial"/>
          <w:b/>
          <w:bCs/>
          <w:color w:val="auto"/>
          <w:sz w:val="36"/>
          <w:szCs w:val="36"/>
          <w:highlight w:val="none"/>
        </w:rPr>
      </w:pPr>
    </w:p>
    <w:p w14:paraId="4C767870">
      <w:pPr>
        <w:tabs>
          <w:tab w:val="left" w:pos="7740"/>
        </w:tabs>
        <w:spacing w:line="600" w:lineRule="exact"/>
        <w:rPr>
          <w:rFonts w:hint="eastAsia" w:ascii="黑体" w:hAnsi="宋体" w:eastAsia="黑体" w:cs="Arial"/>
          <w:b/>
          <w:bCs/>
          <w:color w:val="auto"/>
          <w:sz w:val="36"/>
          <w:szCs w:val="36"/>
          <w:highlight w:val="none"/>
        </w:rPr>
      </w:pPr>
    </w:p>
    <w:p w14:paraId="51C87F52">
      <w:pPr>
        <w:jc w:val="center"/>
        <w:rPr>
          <w:rFonts w:hint="eastAsia" w:ascii="仿宋" w:hAnsi="仿宋" w:eastAsia="仿宋" w:cs="仿宋"/>
          <w:color w:val="auto"/>
          <w:sz w:val="48"/>
          <w:szCs w:val="48"/>
          <w:highlight w:val="none"/>
          <w:lang w:eastAsia="zh-CN"/>
        </w:rPr>
      </w:pPr>
      <w:r>
        <w:rPr>
          <w:rFonts w:hint="eastAsia" w:ascii="仿宋" w:hAnsi="仿宋" w:eastAsia="仿宋" w:cs="仿宋"/>
          <w:b/>
          <w:color w:val="auto"/>
          <w:sz w:val="48"/>
          <w:szCs w:val="48"/>
          <w:highlight w:val="none"/>
          <w:lang w:eastAsia="zh-CN"/>
        </w:rPr>
        <w:t>池州具身智能产业链</w:t>
      </w:r>
      <w:bookmarkStart w:id="0" w:name="OLE_LINK1"/>
      <w:r>
        <w:rPr>
          <w:rFonts w:hint="eastAsia" w:ascii="仿宋" w:hAnsi="仿宋" w:eastAsia="仿宋" w:cs="仿宋"/>
          <w:b/>
          <w:color w:val="auto"/>
          <w:sz w:val="48"/>
          <w:szCs w:val="48"/>
          <w:highlight w:val="none"/>
          <w:lang w:eastAsia="zh-CN"/>
        </w:rPr>
        <w:t>实施研究及招商策略</w:t>
      </w:r>
      <w:bookmarkEnd w:id="0"/>
    </w:p>
    <w:p w14:paraId="013C08FF">
      <w:pPr>
        <w:rPr>
          <w:rFonts w:ascii="仿宋_GB2312" w:eastAsia="仿宋_GB2312"/>
          <w:color w:val="auto"/>
          <w:sz w:val="44"/>
          <w:szCs w:val="44"/>
          <w:highlight w:val="none"/>
        </w:rPr>
      </w:pPr>
    </w:p>
    <w:p w14:paraId="65C304DE">
      <w:pPr>
        <w:jc w:val="center"/>
        <w:rPr>
          <w:rFonts w:hint="eastAsia" w:ascii="宋体" w:hAnsi="宋体"/>
          <w:color w:val="auto"/>
          <w:sz w:val="72"/>
          <w:szCs w:val="72"/>
          <w:highlight w:val="none"/>
        </w:rPr>
      </w:pPr>
      <w:r>
        <w:rPr>
          <w:rFonts w:hint="eastAsia" w:ascii="宋体" w:hAnsi="宋体"/>
          <w:color w:val="auto"/>
          <w:sz w:val="72"/>
          <w:szCs w:val="72"/>
          <w:highlight w:val="none"/>
        </w:rPr>
        <w:t>竞争性磋商文件</w:t>
      </w:r>
    </w:p>
    <w:p w14:paraId="125FCC2C">
      <w:pPr>
        <w:tabs>
          <w:tab w:val="left" w:pos="7560"/>
        </w:tabs>
        <w:spacing w:line="900" w:lineRule="exact"/>
        <w:rPr>
          <w:rFonts w:hint="eastAsia" w:ascii="宋体" w:hAnsi="宋体"/>
          <w:color w:val="auto"/>
          <w:sz w:val="32"/>
          <w:szCs w:val="32"/>
          <w:highlight w:val="none"/>
          <w:u w:val="single"/>
        </w:rPr>
      </w:pPr>
    </w:p>
    <w:p w14:paraId="4177210A">
      <w:pPr>
        <w:rPr>
          <w:color w:val="auto"/>
          <w:highlight w:val="none"/>
        </w:rPr>
      </w:pPr>
    </w:p>
    <w:p w14:paraId="44F775B7">
      <w:pPr>
        <w:pStyle w:val="76"/>
        <w:rPr>
          <w:color w:val="auto"/>
          <w:highlight w:val="none"/>
        </w:rPr>
      </w:pPr>
    </w:p>
    <w:p w14:paraId="6580D0C7">
      <w:pPr>
        <w:pStyle w:val="76"/>
        <w:rPr>
          <w:color w:val="auto"/>
          <w:highlight w:val="none"/>
        </w:rPr>
      </w:pPr>
    </w:p>
    <w:p w14:paraId="23BE1ABF">
      <w:pPr>
        <w:pStyle w:val="76"/>
        <w:rPr>
          <w:color w:val="auto"/>
          <w:highlight w:val="none"/>
        </w:rPr>
      </w:pPr>
    </w:p>
    <w:p w14:paraId="2007D45E">
      <w:pPr>
        <w:pStyle w:val="76"/>
        <w:rPr>
          <w:color w:val="auto"/>
          <w:highlight w:val="none"/>
        </w:rPr>
      </w:pPr>
    </w:p>
    <w:p w14:paraId="024B15EC">
      <w:pPr>
        <w:pStyle w:val="76"/>
        <w:rPr>
          <w:color w:val="auto"/>
          <w:highlight w:val="none"/>
        </w:rPr>
      </w:pPr>
    </w:p>
    <w:p w14:paraId="20AE487C">
      <w:pPr>
        <w:pStyle w:val="76"/>
        <w:rPr>
          <w:color w:val="auto"/>
          <w:highlight w:val="none"/>
        </w:rPr>
      </w:pPr>
    </w:p>
    <w:p w14:paraId="2999BD0E">
      <w:pPr>
        <w:tabs>
          <w:tab w:val="left" w:pos="7560"/>
        </w:tabs>
        <w:spacing w:line="900" w:lineRule="exact"/>
        <w:rPr>
          <w:rFonts w:hint="eastAsia" w:ascii="宋体" w:hAnsi="宋体"/>
          <w:color w:val="auto"/>
          <w:w w:val="85"/>
          <w:sz w:val="32"/>
          <w:szCs w:val="32"/>
          <w:highlight w:val="none"/>
          <w:u w:val="single"/>
        </w:rPr>
      </w:pPr>
      <w:r>
        <w:rPr>
          <w:rFonts w:hint="eastAsia" w:ascii="宋体" w:hAnsi="宋体"/>
          <w:color w:val="auto"/>
          <w:sz w:val="32"/>
          <w:szCs w:val="32"/>
          <w:highlight w:val="none"/>
        </w:rPr>
        <w:t>项目名称：</w:t>
      </w:r>
      <w:r>
        <w:rPr>
          <w:rFonts w:hint="eastAsia" w:ascii="宋体" w:hAnsi="宋体"/>
          <w:color w:val="auto"/>
          <w:w w:val="85"/>
          <w:sz w:val="32"/>
          <w:szCs w:val="32"/>
          <w:highlight w:val="none"/>
          <w:u w:val="single"/>
        </w:rPr>
        <w:t xml:space="preserve"> </w:t>
      </w:r>
      <w:r>
        <w:rPr>
          <w:rFonts w:hint="eastAsia" w:ascii="宋体" w:hAnsi="宋体"/>
          <w:color w:val="auto"/>
          <w:sz w:val="32"/>
          <w:szCs w:val="32"/>
          <w:highlight w:val="none"/>
          <w:u w:val="single"/>
          <w:lang w:eastAsia="zh-CN"/>
        </w:rPr>
        <w:t>池州具身智能产业链实施研究及招商策略</w:t>
      </w:r>
      <w:r>
        <w:rPr>
          <w:rFonts w:hint="eastAsia" w:ascii="宋体" w:hAnsi="宋体"/>
          <w:color w:val="auto"/>
          <w:sz w:val="32"/>
          <w:szCs w:val="32"/>
          <w:highlight w:val="none"/>
          <w:u w:val="single"/>
        </w:rPr>
        <w:t xml:space="preserve"> </w:t>
      </w:r>
    </w:p>
    <w:p w14:paraId="4D4E9EBA">
      <w:pPr>
        <w:tabs>
          <w:tab w:val="left" w:pos="7560"/>
        </w:tabs>
        <w:spacing w:line="900" w:lineRule="exact"/>
        <w:rPr>
          <w:rFonts w:hint="eastAsia" w:ascii="宋体" w:hAnsi="宋体"/>
          <w:color w:val="auto"/>
          <w:sz w:val="32"/>
          <w:szCs w:val="32"/>
          <w:highlight w:val="none"/>
          <w:u w:val="single"/>
        </w:rPr>
      </w:pPr>
      <w:r>
        <w:rPr>
          <w:rFonts w:hint="eastAsia" w:ascii="宋体" w:hAnsi="宋体"/>
          <w:color w:val="auto"/>
          <w:sz w:val="32"/>
          <w:szCs w:val="32"/>
          <w:highlight w:val="none"/>
        </w:rPr>
        <w:t>项目编号：</w:t>
      </w:r>
      <w:r>
        <w:rPr>
          <w:rFonts w:hint="eastAsia" w:ascii="宋体" w:hAnsi="宋体"/>
          <w:color w:val="auto"/>
          <w:sz w:val="32"/>
          <w:szCs w:val="32"/>
          <w:highlight w:val="none"/>
          <w:u w:val="single"/>
        </w:rPr>
        <w:t xml:space="preserve">       JTCZCG-20260</w:t>
      </w:r>
      <w:r>
        <w:rPr>
          <w:rFonts w:hint="eastAsia" w:ascii="宋体" w:hAnsi="宋体"/>
          <w:color w:val="auto"/>
          <w:sz w:val="32"/>
          <w:szCs w:val="32"/>
          <w:highlight w:val="none"/>
          <w:u w:val="single"/>
          <w:lang w:val="en-US" w:eastAsia="zh-CN"/>
        </w:rPr>
        <w:t xml:space="preserve">415 </w:t>
      </w:r>
      <w:r>
        <w:rPr>
          <w:rFonts w:hint="eastAsia" w:ascii="宋体" w:hAnsi="宋体"/>
          <w:color w:val="auto"/>
          <w:sz w:val="32"/>
          <w:szCs w:val="32"/>
          <w:highlight w:val="none"/>
          <w:u w:val="single"/>
        </w:rPr>
        <w:t xml:space="preserve">       </w:t>
      </w:r>
    </w:p>
    <w:p w14:paraId="6B302E00">
      <w:pPr>
        <w:tabs>
          <w:tab w:val="left" w:pos="7560"/>
        </w:tabs>
        <w:spacing w:line="900" w:lineRule="exact"/>
        <w:rPr>
          <w:rFonts w:hint="default" w:ascii="宋体" w:hAnsi="宋体" w:eastAsia="宋体"/>
          <w:color w:val="auto"/>
          <w:sz w:val="32"/>
          <w:szCs w:val="32"/>
          <w:highlight w:val="none"/>
          <w:u w:val="single"/>
          <w:lang w:val="en-US" w:eastAsia="zh-CN"/>
        </w:rPr>
      </w:pPr>
      <w:r>
        <w:rPr>
          <w:rFonts w:hint="eastAsia" w:ascii="宋体" w:hAnsi="宋体"/>
          <w:color w:val="auto"/>
          <w:sz w:val="32"/>
          <w:szCs w:val="32"/>
          <w:highlight w:val="none"/>
        </w:rPr>
        <w:t>采 购 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eastAsia="zh-CN"/>
        </w:rPr>
        <w:t>池州市工业和信息化局</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68D33974">
      <w:pPr>
        <w:tabs>
          <w:tab w:val="left" w:pos="4320"/>
          <w:tab w:val="left" w:pos="7740"/>
        </w:tabs>
        <w:spacing w:line="900" w:lineRule="exact"/>
        <w:rPr>
          <w:rFonts w:ascii="仿宋_GB2312" w:eastAsia="仿宋_GB2312"/>
          <w:color w:val="auto"/>
          <w:sz w:val="28"/>
          <w:szCs w:val="28"/>
          <w:highlight w:val="none"/>
        </w:rPr>
      </w:pPr>
      <w:r>
        <w:rPr>
          <w:rFonts w:hint="eastAsia" w:ascii="宋体" w:hAnsi="宋体"/>
          <w:color w:val="auto"/>
          <w:sz w:val="32"/>
          <w:szCs w:val="32"/>
          <w:highlight w:val="none"/>
        </w:rPr>
        <w:t>采购代理机构：</w:t>
      </w:r>
      <w:r>
        <w:rPr>
          <w:rFonts w:hint="eastAsia" w:ascii="宋体" w:hAnsi="宋体"/>
          <w:color w:val="auto"/>
          <w:sz w:val="32"/>
          <w:szCs w:val="32"/>
          <w:highlight w:val="none"/>
          <w:u w:val="single"/>
        </w:rPr>
        <w:t xml:space="preserve">   阶梯项目咨询有限公司  </w:t>
      </w:r>
    </w:p>
    <w:p w14:paraId="2342AB94">
      <w:pPr>
        <w:tabs>
          <w:tab w:val="left" w:pos="4320"/>
          <w:tab w:val="left" w:pos="7740"/>
        </w:tabs>
        <w:spacing w:line="900" w:lineRule="exact"/>
        <w:jc w:val="center"/>
        <w:rPr>
          <w:color w:val="auto"/>
          <w:sz w:val="32"/>
          <w:szCs w:val="32"/>
          <w:highlight w:val="none"/>
        </w:rPr>
      </w:pPr>
      <w:r>
        <w:rPr>
          <w:rFonts w:hint="eastAsia" w:ascii="宋体" w:hAnsi="宋体"/>
          <w:color w:val="auto"/>
          <w:sz w:val="32"/>
          <w:szCs w:val="32"/>
          <w:highlight w:val="none"/>
        </w:rPr>
        <w:t>2026年0</w:t>
      </w:r>
      <w:r>
        <w:rPr>
          <w:rFonts w:hint="eastAsia" w:ascii="宋体" w:hAnsi="宋体"/>
          <w:color w:val="auto"/>
          <w:sz w:val="32"/>
          <w:szCs w:val="32"/>
          <w:highlight w:val="none"/>
          <w:lang w:val="en-US" w:eastAsia="zh-CN"/>
        </w:rPr>
        <w:t>4</w:t>
      </w:r>
      <w:r>
        <w:rPr>
          <w:rFonts w:hint="eastAsia" w:ascii="宋体" w:hAnsi="宋体"/>
          <w:color w:val="auto"/>
          <w:sz w:val="32"/>
          <w:szCs w:val="32"/>
          <w:highlight w:val="none"/>
        </w:rPr>
        <w:t>月</w:t>
      </w:r>
    </w:p>
    <w:p w14:paraId="36CAB9F5">
      <w:pPr>
        <w:pStyle w:val="207"/>
        <w:spacing w:before="240" w:after="240"/>
        <w:jc w:val="both"/>
        <w:outlineLvl w:val="0"/>
        <w:rPr>
          <w:rFonts w:hint="eastAsia"/>
          <w:color w:val="auto"/>
          <w:highlight w:val="none"/>
        </w:rPr>
        <w:sectPr>
          <w:headerReference r:id="rId3" w:type="default"/>
          <w:footerReference r:id="rId5" w:type="default"/>
          <w:headerReference r:id="rId4" w:type="even"/>
          <w:footerReference r:id="rId6" w:type="even"/>
          <w:type w:val="continuous"/>
          <w:pgSz w:w="11906" w:h="16838"/>
          <w:pgMar w:top="1134" w:right="1418" w:bottom="1134" w:left="1418" w:header="851" w:footer="992" w:gutter="0"/>
          <w:pgNumType w:start="0"/>
          <w:cols w:space="720" w:num="1"/>
          <w:docGrid w:linePitch="312" w:charSpace="0"/>
        </w:sectPr>
      </w:pPr>
      <w:bookmarkStart w:id="1" w:name="_Toc6254"/>
    </w:p>
    <w:p w14:paraId="6F05E040">
      <w:pPr>
        <w:pStyle w:val="207"/>
        <w:pageBreakBefore/>
        <w:spacing w:before="240" w:after="240"/>
        <w:rPr>
          <w:rFonts w:hint="eastAsia"/>
          <w:color w:val="auto"/>
          <w:sz w:val="32"/>
          <w:szCs w:val="32"/>
          <w:highlight w:val="none"/>
        </w:rPr>
      </w:pPr>
      <w:r>
        <w:rPr>
          <w:rFonts w:hint="eastAsia"/>
          <w:color w:val="auto"/>
          <w:sz w:val="32"/>
          <w:szCs w:val="32"/>
          <w:highlight w:val="none"/>
        </w:rPr>
        <w:t>第一章 竞争性磋商邀请函</w:t>
      </w:r>
    </w:p>
    <w:p w14:paraId="3696F100">
      <w:pPr>
        <w:spacing w:line="360" w:lineRule="auto"/>
        <w:ind w:firstLine="480" w:firstLineChars="200"/>
        <w:jc w:val="left"/>
        <w:rPr>
          <w:rFonts w:hint="eastAsia" w:ascii="宋体" w:hAnsi="宋体" w:cs="宋体"/>
          <w:color w:val="auto"/>
          <w:kern w:val="0"/>
          <w:sz w:val="24"/>
          <w:highlight w:val="none"/>
        </w:rPr>
      </w:pPr>
      <w:bookmarkStart w:id="2" w:name="_Toc35393798"/>
      <w:bookmarkEnd w:id="2"/>
      <w:bookmarkStart w:id="3" w:name="_Toc28359012"/>
      <w:bookmarkEnd w:id="3"/>
      <w:bookmarkStart w:id="4" w:name="_Toc28359089"/>
      <w:bookmarkEnd w:id="4"/>
      <w:bookmarkStart w:id="5" w:name="_Toc35393629"/>
      <w:bookmarkEnd w:id="5"/>
      <w:r>
        <w:rPr>
          <w:rFonts w:hint="eastAsia" w:ascii="宋体" w:hAnsi="宋体" w:cs="宋体"/>
          <w:color w:val="auto"/>
          <w:kern w:val="0"/>
          <w:sz w:val="24"/>
          <w:highlight w:val="none"/>
        </w:rPr>
        <w:t>项目概况</w:t>
      </w:r>
    </w:p>
    <w:p w14:paraId="1214C365">
      <w:pPr>
        <w:spacing w:line="360" w:lineRule="auto"/>
        <w:ind w:firstLine="480" w:firstLineChars="200"/>
        <w:jc w:val="left"/>
        <w:rPr>
          <w:rFonts w:hint="eastAsia" w:ascii="宋体" w:hAnsi="宋体" w:cs="宋体"/>
          <w:b/>
          <w:color w:val="auto"/>
          <w:kern w:val="0"/>
          <w:sz w:val="24"/>
          <w:highlight w:val="none"/>
        </w:rPr>
      </w:pPr>
      <w:r>
        <w:rPr>
          <w:rFonts w:hint="eastAsia" w:ascii="宋体" w:hAnsi="宋体" w:cs="宋体"/>
          <w:color w:val="auto"/>
          <w:kern w:val="0"/>
          <w:sz w:val="24"/>
          <w:highlight w:val="none"/>
          <w:lang w:eastAsia="zh-CN"/>
        </w:rPr>
        <w:t>池州具身智能产业链实施研究及招商策略</w:t>
      </w:r>
      <w:r>
        <w:rPr>
          <w:rFonts w:hint="eastAsia" w:ascii="宋体" w:hAnsi="宋体" w:cs="宋体"/>
          <w:color w:val="auto"/>
          <w:kern w:val="0"/>
          <w:sz w:val="24"/>
          <w:highlight w:val="none"/>
        </w:rPr>
        <w:t>潜在供应商应</w:t>
      </w:r>
      <w:r>
        <w:rPr>
          <w:rFonts w:hint="eastAsia" w:ascii="宋体" w:hAnsi="宋体" w:cs="宋体"/>
          <w:color w:val="auto"/>
          <w:kern w:val="0"/>
          <w:sz w:val="24"/>
          <w:highlight w:val="none"/>
          <w:lang w:val="en-US" w:eastAsia="zh-CN"/>
        </w:rPr>
        <w:t>在阶梯项目咨询有限公司</w:t>
      </w:r>
      <w:r>
        <w:rPr>
          <w:rFonts w:hint="eastAsia" w:ascii="宋体" w:hAnsi="宋体" w:cs="宋体"/>
          <w:color w:val="auto"/>
          <w:kern w:val="0"/>
          <w:sz w:val="24"/>
          <w:highlight w:val="none"/>
        </w:rPr>
        <w:t>获取磋商文件，并于2026年</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14</w:t>
      </w:r>
      <w:r>
        <w:rPr>
          <w:rFonts w:hint="eastAsia" w:ascii="宋体" w:hAnsi="宋体" w:cs="宋体"/>
          <w:color w:val="auto"/>
          <w:kern w:val="0"/>
          <w:sz w:val="24"/>
          <w:highlight w:val="none"/>
        </w:rPr>
        <w:t>日</w:t>
      </w:r>
      <w:r>
        <w:rPr>
          <w:rFonts w:hint="eastAsia" w:ascii="宋体" w:hAnsi="宋体" w:cs="宋体"/>
          <w:color w:val="auto"/>
          <w:kern w:val="0"/>
          <w:sz w:val="24"/>
          <w:highlight w:val="none"/>
          <w:lang w:val="en-US" w:eastAsia="zh-CN"/>
        </w:rPr>
        <w:t>15</w:t>
      </w:r>
      <w:r>
        <w:rPr>
          <w:rFonts w:hint="eastAsia" w:ascii="宋体" w:hAnsi="宋体" w:cs="宋体"/>
          <w:color w:val="auto"/>
          <w:kern w:val="0"/>
          <w:sz w:val="24"/>
          <w:highlight w:val="none"/>
        </w:rPr>
        <w:t>时00分（北京时间）前提交响应文件。</w:t>
      </w:r>
    </w:p>
    <w:p w14:paraId="327C635B">
      <w:pPr>
        <w:spacing w:line="360" w:lineRule="auto"/>
        <w:jc w:val="left"/>
        <w:rPr>
          <w:rFonts w:hint="eastAsia" w:ascii="宋体" w:hAnsi="宋体" w:cs="宋体"/>
          <w:b/>
          <w:color w:val="auto"/>
          <w:kern w:val="0"/>
          <w:sz w:val="24"/>
          <w:highlight w:val="none"/>
        </w:rPr>
      </w:pPr>
      <w:r>
        <w:rPr>
          <w:rFonts w:hint="eastAsia" w:ascii="宋体" w:hAnsi="宋体" w:cs="宋体"/>
          <w:b/>
          <w:color w:val="auto"/>
          <w:kern w:val="0"/>
          <w:sz w:val="24"/>
          <w:highlight w:val="none"/>
        </w:rPr>
        <w:t>一、项目基本情况</w:t>
      </w:r>
    </w:p>
    <w:p w14:paraId="35720F1C">
      <w:pPr>
        <w:spacing w:line="360" w:lineRule="auto"/>
        <w:ind w:firstLine="480" w:firstLineChars="200"/>
        <w:jc w:val="left"/>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rPr>
        <w:t>项目编号：JTCZCG-20260</w:t>
      </w:r>
      <w:r>
        <w:rPr>
          <w:rFonts w:hint="eastAsia" w:ascii="宋体" w:hAnsi="宋体" w:cs="宋体"/>
          <w:color w:val="auto"/>
          <w:kern w:val="0"/>
          <w:sz w:val="24"/>
          <w:highlight w:val="none"/>
          <w:lang w:val="en-US" w:eastAsia="zh-CN"/>
        </w:rPr>
        <w:t>212</w:t>
      </w:r>
    </w:p>
    <w:p w14:paraId="56812365">
      <w:pPr>
        <w:spacing w:line="360" w:lineRule="auto"/>
        <w:ind w:firstLine="480" w:firstLineChars="200"/>
        <w:jc w:val="left"/>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项目名称：</w:t>
      </w:r>
      <w:r>
        <w:rPr>
          <w:rFonts w:hint="eastAsia" w:ascii="宋体" w:hAnsi="宋体" w:cs="宋体"/>
          <w:color w:val="auto"/>
          <w:kern w:val="0"/>
          <w:sz w:val="24"/>
          <w:highlight w:val="none"/>
          <w:lang w:eastAsia="zh-CN"/>
        </w:rPr>
        <w:t>池州具身智能产业链实施研究及招商策略</w:t>
      </w:r>
    </w:p>
    <w:p w14:paraId="206ADB7B">
      <w:pPr>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采购方式：竞争性磋商</w:t>
      </w:r>
    </w:p>
    <w:p w14:paraId="649BA190">
      <w:pPr>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预算金额：</w:t>
      </w:r>
      <w:r>
        <w:rPr>
          <w:rFonts w:hint="eastAsia" w:ascii="宋体" w:hAnsi="宋体" w:cs="宋体"/>
          <w:color w:val="auto"/>
          <w:kern w:val="0"/>
          <w:sz w:val="24"/>
          <w:highlight w:val="none"/>
          <w:lang w:val="en-US" w:eastAsia="zh-CN"/>
        </w:rPr>
        <w:t>40</w:t>
      </w:r>
      <w:r>
        <w:rPr>
          <w:rFonts w:hint="eastAsia" w:ascii="宋体" w:hAnsi="宋体" w:cs="宋体"/>
          <w:color w:val="auto"/>
          <w:kern w:val="0"/>
          <w:sz w:val="24"/>
          <w:highlight w:val="none"/>
        </w:rPr>
        <w:t>万元</w:t>
      </w:r>
    </w:p>
    <w:p w14:paraId="185FF280">
      <w:pPr>
        <w:spacing w:line="360" w:lineRule="auto"/>
        <w:ind w:firstLine="480" w:firstLineChars="200"/>
        <w:jc w:val="left"/>
        <w:rPr>
          <w:rFonts w:hint="default"/>
          <w:color w:val="auto"/>
          <w:highlight w:val="none"/>
          <w:lang w:val="en-US"/>
        </w:rPr>
      </w:pPr>
      <w:r>
        <w:rPr>
          <w:rFonts w:hint="eastAsia" w:ascii="宋体" w:hAnsi="宋体" w:cs="宋体"/>
          <w:color w:val="auto"/>
          <w:kern w:val="0"/>
          <w:sz w:val="24"/>
          <w:highlight w:val="none"/>
        </w:rPr>
        <w:t>最高限价：</w:t>
      </w:r>
      <w:r>
        <w:rPr>
          <w:rFonts w:hint="eastAsia" w:ascii="宋体" w:hAnsi="宋体" w:cs="宋体"/>
          <w:color w:val="auto"/>
          <w:kern w:val="0"/>
          <w:sz w:val="24"/>
          <w:highlight w:val="none"/>
          <w:lang w:val="en-US" w:eastAsia="zh-CN"/>
        </w:rPr>
        <w:t>40</w:t>
      </w:r>
      <w:r>
        <w:rPr>
          <w:rFonts w:hint="eastAsia" w:ascii="宋体" w:hAnsi="宋体" w:cs="宋体"/>
          <w:color w:val="auto"/>
          <w:kern w:val="0"/>
          <w:sz w:val="24"/>
          <w:highlight w:val="none"/>
        </w:rPr>
        <w:t>万元</w:t>
      </w:r>
    </w:p>
    <w:p w14:paraId="684F83FB">
      <w:pPr>
        <w:spacing w:line="360" w:lineRule="auto"/>
        <w:ind w:firstLine="480" w:firstLineChars="200"/>
        <w:jc w:val="left"/>
        <w:rPr>
          <w:rFonts w:hint="default"/>
          <w:color w:val="auto"/>
          <w:highlight w:val="none"/>
          <w:lang w:val="en-US"/>
        </w:rPr>
      </w:pPr>
      <w:r>
        <w:rPr>
          <w:rFonts w:hint="eastAsia" w:ascii="宋体" w:hAnsi="宋体" w:cs="宋体"/>
          <w:color w:val="auto"/>
          <w:kern w:val="0"/>
          <w:sz w:val="24"/>
          <w:highlight w:val="none"/>
        </w:rPr>
        <w:t>采购需求：根据池州具身智能产业基础，为池州提供具身智能产业招商策略研究。</w:t>
      </w:r>
      <w:r>
        <w:rPr>
          <w:rFonts w:hint="eastAsia" w:ascii="宋体" w:hAnsi="宋体" w:eastAsia="宋体" w:cs="宋体"/>
          <w:sz w:val="24"/>
          <w:szCs w:val="24"/>
          <w:lang w:eastAsia="zh-CN"/>
        </w:rPr>
        <w:t>为</w:t>
      </w:r>
      <w:r>
        <w:rPr>
          <w:rFonts w:hint="eastAsia" w:ascii="宋体" w:hAnsi="宋体" w:eastAsia="宋体" w:cs="宋体"/>
          <w:sz w:val="24"/>
          <w:szCs w:val="24"/>
          <w:lang w:val="en-US" w:eastAsia="zh-CN"/>
        </w:rPr>
        <w:t>池州</w:t>
      </w:r>
      <w:r>
        <w:rPr>
          <w:rFonts w:hint="eastAsia" w:ascii="宋体" w:hAnsi="宋体" w:eastAsia="宋体" w:cs="宋体"/>
          <w:sz w:val="24"/>
          <w:szCs w:val="24"/>
          <w:lang w:eastAsia="zh-CN"/>
        </w:rPr>
        <w:t>拓展合作伙伴和市场渠道提供支持和建议。</w:t>
      </w:r>
      <w:r>
        <w:rPr>
          <w:rFonts w:hint="eastAsia" w:ascii="宋体" w:hAnsi="宋体" w:eastAsia="宋体" w:cs="宋体"/>
          <w:sz w:val="24"/>
          <w:szCs w:val="24"/>
          <w:lang w:val="en-US" w:eastAsia="zh-CN"/>
        </w:rPr>
        <w:t>具体详见采购需求</w:t>
      </w:r>
    </w:p>
    <w:p w14:paraId="4FDFA142">
      <w:pPr>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合同履行期限：合同签订之日起</w:t>
      </w:r>
      <w:r>
        <w:rPr>
          <w:rFonts w:hint="eastAsia" w:ascii="宋体" w:hAnsi="宋体" w:cs="宋体"/>
          <w:color w:val="auto"/>
          <w:kern w:val="0"/>
          <w:sz w:val="24"/>
          <w:highlight w:val="none"/>
          <w:lang w:val="en-US" w:eastAsia="zh-CN"/>
        </w:rPr>
        <w:t>90</w:t>
      </w:r>
      <w:r>
        <w:rPr>
          <w:rFonts w:hint="eastAsia" w:ascii="宋体" w:hAnsi="宋体" w:cs="宋体"/>
          <w:color w:val="auto"/>
          <w:kern w:val="0"/>
          <w:sz w:val="24"/>
          <w:highlight w:val="none"/>
        </w:rPr>
        <w:t>日历天完成</w:t>
      </w:r>
      <w:r>
        <w:rPr>
          <w:rFonts w:hint="eastAsia" w:ascii="宋体" w:hAnsi="宋体" w:cs="宋体"/>
          <w:color w:val="auto"/>
          <w:kern w:val="0"/>
          <w:sz w:val="24"/>
          <w:highlight w:val="none"/>
          <w:lang w:val="en-US" w:eastAsia="zh-CN"/>
        </w:rPr>
        <w:t>本项目课题研究</w:t>
      </w:r>
      <w:r>
        <w:rPr>
          <w:rFonts w:hint="eastAsia" w:ascii="宋体" w:hAnsi="宋体" w:cs="宋体"/>
          <w:color w:val="auto"/>
          <w:kern w:val="0"/>
          <w:sz w:val="24"/>
          <w:highlight w:val="none"/>
        </w:rPr>
        <w:t>。</w:t>
      </w:r>
    </w:p>
    <w:p w14:paraId="5F40301B">
      <w:pPr>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本项目不接受联合体。</w:t>
      </w:r>
    </w:p>
    <w:p w14:paraId="796E4543">
      <w:pPr>
        <w:spacing w:line="360" w:lineRule="auto"/>
        <w:jc w:val="left"/>
        <w:rPr>
          <w:rFonts w:hint="eastAsia" w:ascii="宋体" w:hAnsi="宋体" w:cs="Arial"/>
          <w:color w:val="auto"/>
          <w:sz w:val="24"/>
          <w:highlight w:val="none"/>
        </w:rPr>
      </w:pPr>
      <w:bookmarkStart w:id="6" w:name="_Toc35393799"/>
      <w:bookmarkEnd w:id="6"/>
      <w:r>
        <w:rPr>
          <w:rFonts w:hint="eastAsia" w:ascii="宋体" w:hAnsi="宋体" w:cs="宋体"/>
          <w:b/>
          <w:color w:val="auto"/>
          <w:kern w:val="0"/>
          <w:sz w:val="24"/>
          <w:highlight w:val="none"/>
        </w:rPr>
        <w:t>二、申请人的资格要求：</w:t>
      </w:r>
    </w:p>
    <w:p w14:paraId="46419475">
      <w:pPr>
        <w:tabs>
          <w:tab w:val="left" w:pos="1620"/>
          <w:tab w:val="left" w:pos="3420"/>
          <w:tab w:val="left" w:pos="3600"/>
          <w:tab w:val="left" w:pos="3780"/>
        </w:tabs>
        <w:spacing w:line="480" w:lineRule="exact"/>
        <w:ind w:firstLine="516" w:firstLineChars="215"/>
        <w:rPr>
          <w:rFonts w:hint="eastAsia" w:ascii="宋体" w:hAnsi="宋体" w:cs="Arial"/>
          <w:color w:val="auto"/>
          <w:sz w:val="24"/>
          <w:highlight w:val="none"/>
        </w:rPr>
      </w:pPr>
      <w:r>
        <w:rPr>
          <w:rFonts w:hint="eastAsia" w:ascii="宋体" w:hAnsi="宋体" w:cs="Arial"/>
          <w:color w:val="auto"/>
          <w:sz w:val="24"/>
          <w:highlight w:val="none"/>
        </w:rPr>
        <w:t>1.满足《中华人民共和国政府采购法》第二十二条规定；</w:t>
      </w:r>
    </w:p>
    <w:p w14:paraId="614EE376">
      <w:pPr>
        <w:tabs>
          <w:tab w:val="left" w:pos="1620"/>
          <w:tab w:val="left" w:pos="3420"/>
          <w:tab w:val="left" w:pos="3600"/>
          <w:tab w:val="left" w:pos="3780"/>
        </w:tabs>
        <w:spacing w:line="480" w:lineRule="exact"/>
        <w:ind w:firstLine="516" w:firstLineChars="215"/>
        <w:rPr>
          <w:rFonts w:hint="eastAsia" w:ascii="宋体" w:hAnsi="宋体" w:cs="Arial"/>
          <w:color w:val="auto"/>
          <w:sz w:val="24"/>
          <w:highlight w:val="none"/>
        </w:rPr>
      </w:pPr>
      <w:r>
        <w:rPr>
          <w:rFonts w:hint="eastAsia" w:ascii="宋体" w:hAnsi="宋体" w:cs="Arial"/>
          <w:color w:val="auto"/>
          <w:sz w:val="24"/>
          <w:highlight w:val="none"/>
        </w:rPr>
        <w:t>2.落实政府采购政策需满足的资格要求：无</w:t>
      </w:r>
    </w:p>
    <w:p w14:paraId="526A1895">
      <w:pPr>
        <w:tabs>
          <w:tab w:val="left" w:pos="1620"/>
          <w:tab w:val="left" w:pos="3420"/>
          <w:tab w:val="left" w:pos="3600"/>
          <w:tab w:val="left" w:pos="3780"/>
        </w:tabs>
        <w:spacing w:line="480" w:lineRule="exact"/>
        <w:ind w:firstLine="516" w:firstLineChars="215"/>
        <w:rPr>
          <w:rFonts w:hint="eastAsia" w:ascii="宋体" w:hAnsi="宋体" w:eastAsia="宋体" w:cs="Arial"/>
          <w:color w:val="auto"/>
          <w:sz w:val="24"/>
          <w:highlight w:val="none"/>
          <w:lang w:val="en-US" w:eastAsia="zh-CN"/>
        </w:rPr>
      </w:pPr>
      <w:r>
        <w:rPr>
          <w:rFonts w:hint="eastAsia" w:ascii="宋体" w:hAnsi="宋体" w:cs="Arial"/>
          <w:color w:val="auto"/>
          <w:sz w:val="24"/>
          <w:highlight w:val="none"/>
        </w:rPr>
        <w:t>3.本项目的特定资格要求：</w:t>
      </w:r>
      <w:r>
        <w:rPr>
          <w:rFonts w:hint="eastAsia" w:ascii="宋体" w:hAnsi="宋体" w:cs="Arial"/>
          <w:color w:val="auto"/>
          <w:sz w:val="24"/>
          <w:highlight w:val="none"/>
          <w:lang w:val="en-US" w:eastAsia="zh-CN"/>
        </w:rPr>
        <w:t>/</w:t>
      </w:r>
    </w:p>
    <w:p w14:paraId="75E63626">
      <w:pPr>
        <w:spacing w:line="360" w:lineRule="auto"/>
        <w:jc w:val="left"/>
        <w:rPr>
          <w:rFonts w:hint="eastAsia" w:ascii="宋体" w:hAnsi="宋体" w:cs="宋体"/>
          <w:b/>
          <w:color w:val="auto"/>
          <w:kern w:val="0"/>
          <w:sz w:val="24"/>
          <w:highlight w:val="none"/>
        </w:rPr>
      </w:pPr>
      <w:bookmarkStart w:id="7" w:name="_Toc30582"/>
      <w:r>
        <w:rPr>
          <w:rFonts w:hint="eastAsia" w:ascii="宋体" w:hAnsi="宋体" w:cs="宋体"/>
          <w:b/>
          <w:color w:val="auto"/>
          <w:kern w:val="0"/>
          <w:sz w:val="24"/>
          <w:highlight w:val="none"/>
        </w:rPr>
        <w:t>三、获取采购文件</w:t>
      </w:r>
      <w:bookmarkEnd w:id="7"/>
    </w:p>
    <w:p w14:paraId="09591AA7">
      <w:pPr>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时间：2026年</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日至2026年</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日，每天上午08:00至 12:00，下午12:00至17:30，（北京时间，法定节假日除外）</w:t>
      </w:r>
    </w:p>
    <w:p w14:paraId="0B064104">
      <w:pPr>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方式：凡有意参加投标的供应商应在规定的报名时间内将</w:t>
      </w:r>
      <w:r>
        <w:rPr>
          <w:rFonts w:hint="eastAsia" w:ascii="宋体" w:hAnsi="宋体" w:cs="宋体"/>
          <w:color w:val="auto"/>
          <w:kern w:val="0"/>
          <w:sz w:val="24"/>
          <w:highlight w:val="none"/>
          <w:lang w:val="en-US" w:eastAsia="zh-CN"/>
        </w:rPr>
        <w:t>领取</w:t>
      </w:r>
      <w:r>
        <w:rPr>
          <w:rFonts w:hint="eastAsia" w:ascii="宋体" w:hAnsi="宋体" w:cs="宋体"/>
          <w:color w:val="auto"/>
          <w:kern w:val="0"/>
          <w:sz w:val="24"/>
          <w:highlight w:val="none"/>
        </w:rPr>
        <w:t>资料（授权委托书、被授权人身份证、营业执照）的扫描件或复印件发送至</w:t>
      </w:r>
      <w:r>
        <w:rPr>
          <w:rFonts w:hint="eastAsia"/>
          <w:b w:val="0"/>
          <w:bCs w:val="0"/>
          <w:color w:val="auto"/>
          <w:sz w:val="24"/>
          <w:highlight w:val="none"/>
        </w:rPr>
        <w:t>3126967057@qq.com</w:t>
      </w:r>
      <w:r>
        <w:rPr>
          <w:rFonts w:hint="eastAsia" w:ascii="宋体" w:hAnsi="宋体" w:cs="宋体"/>
          <w:color w:val="auto"/>
          <w:kern w:val="0"/>
          <w:sz w:val="24"/>
          <w:highlight w:val="none"/>
        </w:rPr>
        <w:t>邮箱登记</w:t>
      </w:r>
      <w:r>
        <w:rPr>
          <w:rFonts w:hint="eastAsia" w:ascii="宋体" w:hAnsi="宋体" w:cs="宋体"/>
          <w:color w:val="auto"/>
          <w:kern w:val="0"/>
          <w:sz w:val="24"/>
          <w:highlight w:val="none"/>
          <w:lang w:val="en-US" w:eastAsia="zh-CN"/>
        </w:rPr>
        <w:t>领取</w:t>
      </w:r>
      <w:r>
        <w:rPr>
          <w:rFonts w:hint="eastAsia" w:ascii="宋体" w:hAnsi="宋体" w:cs="宋体"/>
          <w:color w:val="auto"/>
          <w:kern w:val="0"/>
          <w:sz w:val="24"/>
          <w:highlight w:val="none"/>
        </w:rPr>
        <w:t>或现场</w:t>
      </w:r>
      <w:r>
        <w:rPr>
          <w:rFonts w:hint="eastAsia" w:ascii="宋体" w:hAnsi="宋体" w:cs="宋体"/>
          <w:color w:val="auto"/>
          <w:kern w:val="0"/>
          <w:sz w:val="24"/>
          <w:highlight w:val="none"/>
          <w:lang w:val="en-US" w:eastAsia="zh-CN"/>
        </w:rPr>
        <w:t>领取</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登记</w:t>
      </w:r>
      <w:r>
        <w:rPr>
          <w:rFonts w:hint="eastAsia" w:ascii="宋体" w:hAnsi="宋体" w:cs="宋体"/>
          <w:color w:val="auto"/>
          <w:kern w:val="0"/>
          <w:sz w:val="24"/>
          <w:highlight w:val="none"/>
        </w:rPr>
        <w:t>成功由工作人员发放磋商文件电子稿。</w:t>
      </w:r>
      <w:r>
        <w:rPr>
          <w:rFonts w:hint="eastAsia"/>
          <w:b w:val="0"/>
          <w:bCs w:val="0"/>
          <w:color w:val="auto"/>
          <w:sz w:val="24"/>
          <w:highlight w:val="none"/>
        </w:rPr>
        <w:t>联系人：洪工，联系方式：18956230673</w:t>
      </w:r>
      <w:r>
        <w:rPr>
          <w:rFonts w:hint="eastAsia"/>
          <w:b w:val="0"/>
          <w:bCs w:val="0"/>
          <w:color w:val="auto"/>
          <w:sz w:val="24"/>
          <w:highlight w:val="none"/>
          <w:lang w:eastAsia="zh-CN"/>
        </w:rPr>
        <w:t>。</w:t>
      </w:r>
      <w:r>
        <w:rPr>
          <w:rFonts w:hint="eastAsia" w:ascii="宋体" w:hAnsi="宋体" w:cs="宋体"/>
          <w:color w:val="auto"/>
          <w:kern w:val="0"/>
          <w:sz w:val="24"/>
          <w:highlight w:val="none"/>
          <w:lang w:val="en-US" w:eastAsia="zh-CN"/>
        </w:rPr>
        <w:t>未按上述要求领取采购文件的</w:t>
      </w:r>
      <w:r>
        <w:rPr>
          <w:rFonts w:hint="eastAsia" w:ascii="宋体" w:hAnsi="宋体" w:cs="宋体"/>
          <w:color w:val="auto"/>
          <w:kern w:val="0"/>
          <w:sz w:val="24"/>
          <w:highlight w:val="none"/>
        </w:rPr>
        <w:t>不得参与投标。</w:t>
      </w:r>
    </w:p>
    <w:p w14:paraId="3347A244">
      <w:pPr>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售价：0元。</w:t>
      </w:r>
    </w:p>
    <w:p w14:paraId="34356F33">
      <w:pPr>
        <w:shd w:val="clear" w:color="auto" w:fill="FFFFFF"/>
        <w:spacing w:line="360" w:lineRule="auto"/>
        <w:rPr>
          <w:rFonts w:hint="eastAsia" w:ascii="宋体" w:hAnsi="宋体" w:cs="宋体"/>
          <w:b/>
          <w:bCs/>
          <w:color w:val="auto"/>
          <w:kern w:val="0"/>
          <w:sz w:val="24"/>
          <w:szCs w:val="21"/>
          <w:highlight w:val="none"/>
        </w:rPr>
      </w:pPr>
      <w:r>
        <w:rPr>
          <w:rFonts w:hint="eastAsia" w:ascii="宋体" w:hAnsi="宋体" w:cs="宋体"/>
          <w:b/>
          <w:bCs/>
          <w:color w:val="auto"/>
          <w:kern w:val="0"/>
          <w:sz w:val="24"/>
          <w:szCs w:val="21"/>
          <w:highlight w:val="none"/>
        </w:rPr>
        <w:t>四、响应文件递交</w:t>
      </w:r>
    </w:p>
    <w:p w14:paraId="1EE0D782">
      <w:pPr>
        <w:widowControl/>
        <w:shd w:val="clear" w:color="auto" w:fill="FFFFFF"/>
        <w:spacing w:line="360" w:lineRule="auto"/>
        <w:ind w:firstLine="480" w:firstLineChars="200"/>
        <w:jc w:val="left"/>
        <w:rPr>
          <w:rFonts w:hint="eastAsia" w:ascii="宋体" w:hAnsi="宋体" w:cs="仿宋_GB2312"/>
          <w:color w:val="auto"/>
          <w:kern w:val="0"/>
          <w:sz w:val="24"/>
          <w:highlight w:val="none"/>
          <w:shd w:val="clear" w:color="auto" w:fill="FFFFFF"/>
        </w:rPr>
      </w:pPr>
      <w:r>
        <w:rPr>
          <w:rFonts w:hint="eastAsia" w:ascii="宋体" w:hAnsi="宋体" w:cs="仿宋_GB2312"/>
          <w:color w:val="auto"/>
          <w:kern w:val="0"/>
          <w:sz w:val="24"/>
          <w:highlight w:val="none"/>
          <w:shd w:val="clear" w:color="auto" w:fill="FFFFFF"/>
        </w:rPr>
        <w:t>1、截止时间：</w:t>
      </w:r>
      <w:r>
        <w:rPr>
          <w:rFonts w:hint="eastAsia" w:ascii="宋体" w:hAnsi="宋体" w:cs="宋体"/>
          <w:color w:val="auto"/>
          <w:kern w:val="0"/>
          <w:sz w:val="24"/>
          <w:highlight w:val="none"/>
        </w:rPr>
        <w:t>2026年</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14</w:t>
      </w:r>
      <w:r>
        <w:rPr>
          <w:rFonts w:hint="eastAsia" w:ascii="宋体" w:hAnsi="宋体" w:cs="宋体"/>
          <w:color w:val="auto"/>
          <w:kern w:val="0"/>
          <w:sz w:val="24"/>
          <w:highlight w:val="none"/>
        </w:rPr>
        <w:t>日</w:t>
      </w:r>
      <w:r>
        <w:rPr>
          <w:rFonts w:hint="eastAsia" w:ascii="宋体" w:hAnsi="宋体" w:cs="宋体"/>
          <w:color w:val="auto"/>
          <w:kern w:val="0"/>
          <w:sz w:val="24"/>
          <w:highlight w:val="none"/>
          <w:lang w:val="en-US" w:eastAsia="zh-CN"/>
        </w:rPr>
        <w:t>15</w:t>
      </w:r>
      <w:r>
        <w:rPr>
          <w:rFonts w:hint="eastAsia" w:ascii="宋体" w:hAnsi="宋体" w:cs="宋体"/>
          <w:color w:val="auto"/>
          <w:kern w:val="0"/>
          <w:sz w:val="24"/>
          <w:highlight w:val="none"/>
        </w:rPr>
        <w:t>时00分</w:t>
      </w:r>
    </w:p>
    <w:p w14:paraId="761FF07E">
      <w:pPr>
        <w:widowControl/>
        <w:shd w:val="clear" w:color="auto" w:fill="FFFFFF"/>
        <w:spacing w:line="360" w:lineRule="auto"/>
        <w:ind w:firstLine="480" w:firstLineChars="200"/>
        <w:jc w:val="left"/>
        <w:rPr>
          <w:rFonts w:hint="eastAsia" w:ascii="宋体" w:hAnsi="宋体" w:cs="仿宋_GB2312"/>
          <w:color w:val="auto"/>
          <w:kern w:val="0"/>
          <w:sz w:val="24"/>
          <w:highlight w:val="none"/>
          <w:shd w:val="clear" w:color="auto" w:fill="FFFFFF"/>
        </w:rPr>
      </w:pPr>
      <w:r>
        <w:rPr>
          <w:rFonts w:hint="eastAsia" w:ascii="宋体" w:hAnsi="宋体" w:cs="仿宋_GB2312"/>
          <w:color w:val="auto"/>
          <w:kern w:val="0"/>
          <w:sz w:val="24"/>
          <w:highlight w:val="none"/>
          <w:shd w:val="clear" w:color="auto" w:fill="FFFFFF"/>
        </w:rPr>
        <w:t>2、地点：阶梯项目咨询有限公司6楼开标室</w:t>
      </w:r>
      <w:r>
        <w:rPr>
          <w:rFonts w:hint="eastAsia" w:ascii="宋体" w:hAnsi="宋体" w:cs="宋体"/>
          <w:color w:val="auto"/>
          <w:kern w:val="0"/>
          <w:sz w:val="24"/>
          <w:highlight w:val="none"/>
        </w:rPr>
        <w:t>（</w:t>
      </w:r>
      <w:r>
        <w:rPr>
          <w:rFonts w:hint="eastAsia" w:ascii="宋体" w:hAnsi="宋体" w:cs="仿宋_GB2312"/>
          <w:color w:val="auto"/>
          <w:kern w:val="0"/>
          <w:sz w:val="24"/>
          <w:highlight w:val="none"/>
          <w:shd w:val="clear" w:color="auto" w:fill="FFFFFF"/>
        </w:rPr>
        <w:t>安徽省池州市长江北路与百牙路交汇处汇安楼六楼</w:t>
      </w:r>
      <w:r>
        <w:rPr>
          <w:rFonts w:hint="eastAsia" w:ascii="宋体" w:hAnsi="宋体" w:cs="宋体"/>
          <w:color w:val="auto"/>
          <w:kern w:val="0"/>
          <w:sz w:val="24"/>
          <w:highlight w:val="none"/>
        </w:rPr>
        <w:t>）</w:t>
      </w:r>
    </w:p>
    <w:p w14:paraId="3F2A3ED2">
      <w:pPr>
        <w:shd w:val="clear" w:color="auto" w:fill="FFFFFF"/>
        <w:spacing w:line="360" w:lineRule="auto"/>
        <w:rPr>
          <w:rFonts w:hint="eastAsia" w:ascii="宋体" w:hAnsi="宋体" w:cs="宋体"/>
          <w:b/>
          <w:bCs/>
          <w:color w:val="auto"/>
          <w:kern w:val="0"/>
          <w:sz w:val="24"/>
          <w:szCs w:val="21"/>
          <w:highlight w:val="none"/>
        </w:rPr>
      </w:pPr>
      <w:r>
        <w:rPr>
          <w:rFonts w:hint="eastAsia" w:ascii="宋体" w:hAnsi="宋体" w:cs="宋体"/>
          <w:b/>
          <w:bCs/>
          <w:color w:val="auto"/>
          <w:kern w:val="0"/>
          <w:sz w:val="24"/>
          <w:szCs w:val="21"/>
          <w:highlight w:val="none"/>
        </w:rPr>
        <w:t>五、开启</w:t>
      </w:r>
    </w:p>
    <w:p w14:paraId="5E78AB59">
      <w:pPr>
        <w:widowControl/>
        <w:shd w:val="clear" w:color="auto" w:fill="FFFFFF"/>
        <w:spacing w:line="360" w:lineRule="auto"/>
        <w:ind w:firstLine="480" w:firstLineChars="200"/>
        <w:jc w:val="left"/>
        <w:rPr>
          <w:rFonts w:hint="eastAsia" w:ascii="宋体" w:hAnsi="宋体" w:cs="仿宋_GB2312"/>
          <w:color w:val="auto"/>
          <w:kern w:val="0"/>
          <w:sz w:val="24"/>
          <w:highlight w:val="red"/>
          <w:shd w:val="clear" w:color="auto" w:fill="FFFFFF"/>
        </w:rPr>
      </w:pPr>
      <w:r>
        <w:rPr>
          <w:rFonts w:hint="eastAsia" w:ascii="宋体" w:hAnsi="宋体" w:cs="仿宋_GB2312"/>
          <w:color w:val="auto"/>
          <w:kern w:val="0"/>
          <w:sz w:val="24"/>
          <w:highlight w:val="none"/>
          <w:shd w:val="clear" w:color="auto" w:fill="FFFFFF"/>
        </w:rPr>
        <w:t>1、时间：</w:t>
      </w:r>
      <w:r>
        <w:rPr>
          <w:rFonts w:hint="eastAsia" w:ascii="宋体" w:hAnsi="宋体" w:cs="宋体"/>
          <w:color w:val="auto"/>
          <w:kern w:val="0"/>
          <w:sz w:val="24"/>
          <w:highlight w:val="none"/>
        </w:rPr>
        <w:t>2026年</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14</w:t>
      </w:r>
      <w:r>
        <w:rPr>
          <w:rFonts w:hint="eastAsia" w:ascii="宋体" w:hAnsi="宋体" w:cs="宋体"/>
          <w:color w:val="auto"/>
          <w:kern w:val="0"/>
          <w:sz w:val="24"/>
          <w:highlight w:val="none"/>
        </w:rPr>
        <w:t>日</w:t>
      </w:r>
      <w:r>
        <w:rPr>
          <w:rFonts w:hint="eastAsia" w:ascii="宋体" w:hAnsi="宋体" w:cs="宋体"/>
          <w:color w:val="auto"/>
          <w:kern w:val="0"/>
          <w:sz w:val="24"/>
          <w:highlight w:val="none"/>
          <w:lang w:val="en-US" w:eastAsia="zh-CN"/>
        </w:rPr>
        <w:t>15</w:t>
      </w:r>
      <w:r>
        <w:rPr>
          <w:rFonts w:hint="eastAsia" w:ascii="宋体" w:hAnsi="宋体" w:cs="宋体"/>
          <w:color w:val="auto"/>
          <w:kern w:val="0"/>
          <w:sz w:val="24"/>
          <w:highlight w:val="none"/>
        </w:rPr>
        <w:t>时00分</w:t>
      </w:r>
    </w:p>
    <w:p w14:paraId="5B3F55B8">
      <w:pPr>
        <w:widowControl/>
        <w:shd w:val="clear" w:color="auto" w:fill="FFFFFF"/>
        <w:spacing w:line="360" w:lineRule="auto"/>
        <w:ind w:firstLine="480" w:firstLineChars="200"/>
        <w:jc w:val="left"/>
        <w:rPr>
          <w:rFonts w:hint="eastAsia" w:ascii="宋体" w:hAnsi="宋体" w:cs="仿宋_GB2312"/>
          <w:color w:val="auto"/>
          <w:kern w:val="0"/>
          <w:sz w:val="24"/>
          <w:highlight w:val="none"/>
          <w:shd w:val="clear" w:color="auto" w:fill="FFFFFF"/>
        </w:rPr>
      </w:pPr>
      <w:r>
        <w:rPr>
          <w:rFonts w:hint="eastAsia" w:ascii="宋体" w:hAnsi="宋体" w:cs="仿宋_GB2312"/>
          <w:color w:val="auto"/>
          <w:kern w:val="0"/>
          <w:sz w:val="24"/>
          <w:highlight w:val="none"/>
          <w:shd w:val="clear" w:color="auto" w:fill="FFFFFF"/>
        </w:rPr>
        <w:t xml:space="preserve">2、地点：阶梯项目咨询有限公司6楼开标室 </w:t>
      </w:r>
    </w:p>
    <w:p w14:paraId="419F35E0">
      <w:pPr>
        <w:shd w:val="clear" w:color="auto" w:fill="FFFFFF"/>
        <w:spacing w:line="360" w:lineRule="auto"/>
        <w:rPr>
          <w:rFonts w:hint="eastAsia" w:ascii="宋体" w:hAnsi="宋体" w:cs="宋体"/>
          <w:b/>
          <w:bCs/>
          <w:color w:val="auto"/>
          <w:kern w:val="0"/>
          <w:sz w:val="24"/>
          <w:szCs w:val="21"/>
          <w:highlight w:val="none"/>
        </w:rPr>
      </w:pPr>
      <w:bookmarkStart w:id="8" w:name="_Toc35393634"/>
      <w:bookmarkEnd w:id="8"/>
      <w:bookmarkStart w:id="9" w:name="_Toc35393803"/>
      <w:bookmarkEnd w:id="9"/>
      <w:bookmarkStart w:id="10" w:name="_Toc28359094"/>
      <w:bookmarkEnd w:id="10"/>
      <w:bookmarkStart w:id="11" w:name="_Toc28359017"/>
      <w:bookmarkEnd w:id="11"/>
      <w:r>
        <w:rPr>
          <w:rFonts w:hint="eastAsia" w:ascii="宋体" w:hAnsi="宋体" w:cs="宋体"/>
          <w:b/>
          <w:bCs/>
          <w:color w:val="auto"/>
          <w:kern w:val="0"/>
          <w:sz w:val="24"/>
          <w:szCs w:val="21"/>
          <w:highlight w:val="none"/>
        </w:rPr>
        <w:t>六、公告期限</w:t>
      </w:r>
    </w:p>
    <w:p w14:paraId="31D1007D">
      <w:pPr>
        <w:widowControl/>
        <w:shd w:val="clear" w:color="auto" w:fill="FFFFFF"/>
        <w:spacing w:line="360" w:lineRule="auto"/>
        <w:ind w:firstLine="480" w:firstLineChars="200"/>
        <w:jc w:val="left"/>
        <w:rPr>
          <w:color w:val="auto"/>
          <w:highlight w:val="none"/>
        </w:rPr>
      </w:pPr>
      <w:r>
        <w:rPr>
          <w:rFonts w:hint="eastAsia" w:ascii="宋体" w:hAnsi="宋体" w:cs="仿宋_GB2312"/>
          <w:color w:val="auto"/>
          <w:kern w:val="0"/>
          <w:sz w:val="24"/>
          <w:highlight w:val="none"/>
          <w:shd w:val="clear" w:color="auto" w:fill="FFFFFF"/>
        </w:rPr>
        <w:t>自本公告发布之日起</w:t>
      </w:r>
      <w:r>
        <w:rPr>
          <w:rFonts w:hint="eastAsia" w:ascii="宋体" w:hAnsi="宋体" w:cs="仿宋_GB2312"/>
          <w:color w:val="auto"/>
          <w:kern w:val="0"/>
          <w:sz w:val="24"/>
          <w:highlight w:val="none"/>
          <w:shd w:val="clear" w:color="auto" w:fill="FFFFFF"/>
          <w:lang w:val="en-US" w:eastAsia="zh-CN"/>
        </w:rPr>
        <w:t>3</w:t>
      </w:r>
      <w:r>
        <w:rPr>
          <w:rFonts w:hint="eastAsia" w:ascii="宋体" w:hAnsi="宋体" w:cs="仿宋_GB2312"/>
          <w:color w:val="auto"/>
          <w:kern w:val="0"/>
          <w:sz w:val="24"/>
          <w:highlight w:val="none"/>
          <w:shd w:val="clear" w:color="auto" w:fill="FFFFFF"/>
        </w:rPr>
        <w:t>个工作日。</w:t>
      </w:r>
    </w:p>
    <w:p w14:paraId="02AD385B">
      <w:pPr>
        <w:shd w:val="clear" w:color="auto" w:fill="FFFFFF"/>
        <w:spacing w:line="360" w:lineRule="auto"/>
        <w:rPr>
          <w:rFonts w:hint="eastAsia" w:ascii="宋体" w:hAnsi="宋体" w:cs="宋体"/>
          <w:b/>
          <w:bCs/>
          <w:color w:val="auto"/>
          <w:kern w:val="0"/>
          <w:sz w:val="24"/>
          <w:szCs w:val="21"/>
          <w:highlight w:val="none"/>
        </w:rPr>
      </w:pPr>
      <w:r>
        <w:rPr>
          <w:rFonts w:hint="eastAsia" w:ascii="宋体" w:hAnsi="宋体" w:cs="宋体"/>
          <w:b/>
          <w:bCs/>
          <w:color w:val="auto"/>
          <w:kern w:val="0"/>
          <w:sz w:val="24"/>
          <w:szCs w:val="21"/>
          <w:highlight w:val="none"/>
        </w:rPr>
        <w:t>七、其他补充事宜</w:t>
      </w:r>
    </w:p>
    <w:p w14:paraId="46A288FF">
      <w:pPr>
        <w:widowControl/>
        <w:shd w:val="clear" w:color="auto" w:fill="FFFFFF"/>
        <w:spacing w:line="360" w:lineRule="auto"/>
        <w:ind w:firstLine="480" w:firstLineChars="200"/>
        <w:jc w:val="left"/>
        <w:rPr>
          <w:rFonts w:hint="eastAsia" w:ascii="宋体" w:hAnsi="宋体" w:cs="仿宋_GB2312"/>
          <w:color w:val="auto"/>
          <w:kern w:val="0"/>
          <w:sz w:val="24"/>
          <w:highlight w:val="none"/>
          <w:shd w:val="clear" w:color="auto" w:fill="FFFFFF"/>
        </w:rPr>
      </w:pPr>
      <w:r>
        <w:rPr>
          <w:rFonts w:hint="eastAsia" w:ascii="宋体" w:hAnsi="宋体" w:cs="仿宋_GB2312"/>
          <w:color w:val="auto"/>
          <w:kern w:val="0"/>
          <w:sz w:val="24"/>
          <w:highlight w:val="none"/>
          <w:shd w:val="clear" w:color="auto" w:fill="FFFFFF"/>
        </w:rPr>
        <w:t>本次磋商公告在</w:t>
      </w:r>
      <w:r>
        <w:rPr>
          <w:rFonts w:hint="eastAsia" w:ascii="宋体" w:hAnsi="宋体" w:cs="仿宋_GB2312"/>
          <w:color w:val="auto"/>
          <w:kern w:val="0"/>
          <w:sz w:val="24"/>
          <w:highlight w:val="none"/>
          <w:shd w:val="clear" w:color="auto" w:fill="FFFFFF"/>
          <w:lang w:eastAsia="zh-CN"/>
        </w:rPr>
        <w:t>池州市工业和信息化局网</w:t>
      </w:r>
      <w:r>
        <w:rPr>
          <w:rFonts w:hint="eastAsia" w:ascii="宋体" w:hAnsi="宋体" w:cs="仿宋_GB2312"/>
          <w:color w:val="auto"/>
          <w:kern w:val="0"/>
          <w:sz w:val="24"/>
          <w:highlight w:val="none"/>
          <w:shd w:val="clear" w:color="auto" w:fill="FFFFFF"/>
        </w:rPr>
        <w:t>上发布。请各潜在供应商积极关注以上官网，以便及时了解相关信息。磋商文件答疑、修改采取网上发布的形式。各潜在供应商在响应截止前自行查询是否有答疑回复和磋商文件内容修改，否则造成的一切后果由供应商自行承担。</w:t>
      </w:r>
    </w:p>
    <w:p w14:paraId="50792C62">
      <w:pPr>
        <w:shd w:val="clear" w:color="auto" w:fill="FFFFFF"/>
        <w:spacing w:line="360" w:lineRule="auto"/>
        <w:rPr>
          <w:color w:val="auto"/>
          <w:highlight w:val="none"/>
        </w:rPr>
      </w:pPr>
      <w:r>
        <w:rPr>
          <w:rFonts w:hint="eastAsia" w:ascii="宋体" w:hAnsi="宋体" w:cs="宋体"/>
          <w:b/>
          <w:bCs/>
          <w:color w:val="auto"/>
          <w:kern w:val="0"/>
          <w:sz w:val="24"/>
          <w:szCs w:val="21"/>
          <w:highlight w:val="none"/>
        </w:rPr>
        <w:t>八、</w:t>
      </w:r>
      <w:r>
        <w:rPr>
          <w:rFonts w:ascii="黑体" w:hAnsi="宋体" w:eastAsia="黑体" w:cs="黑体"/>
          <w:color w:val="auto"/>
          <w:sz w:val="28"/>
          <w:szCs w:val="28"/>
          <w:highlight w:val="none"/>
          <w:shd w:val="clear" w:color="auto" w:fill="FFFFFF"/>
        </w:rPr>
        <w:t>凡对本次</w:t>
      </w:r>
      <w:r>
        <w:rPr>
          <w:rFonts w:hint="eastAsia" w:ascii="黑体" w:hAnsi="宋体" w:eastAsia="黑体" w:cs="黑体"/>
          <w:color w:val="auto"/>
          <w:sz w:val="28"/>
          <w:szCs w:val="28"/>
          <w:highlight w:val="none"/>
          <w:shd w:val="clear" w:color="auto" w:fill="FFFFFF"/>
        </w:rPr>
        <w:t>采购提出询问，请按以下方式联系。</w:t>
      </w:r>
    </w:p>
    <w:p w14:paraId="3EADC1BB">
      <w:pPr>
        <w:widowControl/>
        <w:shd w:val="clear" w:color="auto" w:fill="FFFFFF"/>
        <w:spacing w:line="360" w:lineRule="auto"/>
        <w:ind w:firstLine="480" w:firstLineChars="200"/>
        <w:jc w:val="left"/>
        <w:rPr>
          <w:rFonts w:hint="eastAsia" w:ascii="宋体" w:hAnsi="宋体" w:cs="仿宋_GB2312"/>
          <w:color w:val="auto"/>
          <w:kern w:val="0"/>
          <w:sz w:val="24"/>
          <w:highlight w:val="none"/>
          <w:shd w:val="clear" w:color="auto" w:fill="FFFFFF"/>
        </w:rPr>
      </w:pPr>
      <w:r>
        <w:rPr>
          <w:rFonts w:hint="eastAsia" w:ascii="宋体" w:hAnsi="宋体" w:cs="仿宋_GB2312"/>
          <w:color w:val="auto"/>
          <w:kern w:val="0"/>
          <w:sz w:val="24"/>
          <w:highlight w:val="none"/>
          <w:shd w:val="clear" w:color="auto" w:fill="FFFFFF"/>
        </w:rPr>
        <w:t>1.采购人信息</w:t>
      </w:r>
    </w:p>
    <w:p w14:paraId="70050289">
      <w:pPr>
        <w:widowControl/>
        <w:shd w:val="clear" w:color="auto" w:fill="FFFFFF"/>
        <w:spacing w:line="360" w:lineRule="auto"/>
        <w:ind w:firstLine="480" w:firstLineChars="200"/>
        <w:jc w:val="left"/>
        <w:rPr>
          <w:rFonts w:hint="eastAsia" w:ascii="宋体" w:hAnsi="宋体" w:cs="仿宋_GB2312"/>
          <w:color w:val="auto"/>
          <w:kern w:val="0"/>
          <w:sz w:val="24"/>
          <w:highlight w:val="none"/>
          <w:shd w:val="clear" w:color="auto" w:fill="FFFFFF"/>
        </w:rPr>
      </w:pPr>
      <w:r>
        <w:rPr>
          <w:rFonts w:hint="eastAsia" w:ascii="宋体" w:hAnsi="宋体" w:cs="仿宋_GB2312"/>
          <w:color w:val="auto"/>
          <w:kern w:val="0"/>
          <w:sz w:val="24"/>
          <w:highlight w:val="none"/>
          <w:shd w:val="clear" w:color="auto" w:fill="FFFFFF"/>
        </w:rPr>
        <w:t>名称：</w:t>
      </w:r>
      <w:r>
        <w:rPr>
          <w:rFonts w:hint="eastAsia" w:ascii="宋体" w:hAnsi="宋体" w:cs="仿宋_GB2312"/>
          <w:color w:val="auto"/>
          <w:kern w:val="0"/>
          <w:sz w:val="24"/>
          <w:highlight w:val="none"/>
          <w:shd w:val="clear" w:color="auto" w:fill="FFFFFF"/>
          <w:lang w:eastAsia="zh-CN"/>
        </w:rPr>
        <w:t>池州市工业和信息化局</w:t>
      </w:r>
      <w:r>
        <w:rPr>
          <w:rFonts w:hint="eastAsia" w:ascii="宋体" w:hAnsi="宋体" w:cs="仿宋_GB2312"/>
          <w:color w:val="auto"/>
          <w:kern w:val="0"/>
          <w:sz w:val="24"/>
          <w:highlight w:val="none"/>
          <w:shd w:val="clear" w:color="auto" w:fill="FFFFFF"/>
          <w:lang w:val="en-US" w:eastAsia="zh-CN"/>
        </w:rPr>
        <w:t xml:space="preserve"> </w:t>
      </w:r>
      <w:r>
        <w:rPr>
          <w:rFonts w:hint="eastAsia" w:ascii="宋体" w:hAnsi="宋体" w:cs="仿宋_GB2312"/>
          <w:color w:val="auto"/>
          <w:kern w:val="0"/>
          <w:sz w:val="24"/>
          <w:highlight w:val="none"/>
          <w:shd w:val="clear" w:color="auto" w:fill="FFFFFF"/>
        </w:rPr>
        <w:t>　　　</w:t>
      </w:r>
    </w:p>
    <w:p w14:paraId="140FDA7D">
      <w:pPr>
        <w:widowControl/>
        <w:shd w:val="clear" w:color="auto" w:fill="FFFFFF"/>
        <w:spacing w:line="360" w:lineRule="auto"/>
        <w:ind w:firstLine="480" w:firstLineChars="200"/>
        <w:jc w:val="left"/>
        <w:rPr>
          <w:rFonts w:hint="eastAsia" w:ascii="宋体" w:hAnsi="宋体" w:cs="仿宋_GB2312"/>
          <w:color w:val="auto"/>
          <w:kern w:val="0"/>
          <w:sz w:val="24"/>
          <w:highlight w:val="none"/>
          <w:shd w:val="clear" w:color="auto" w:fill="FFFFFF"/>
        </w:rPr>
      </w:pPr>
      <w:r>
        <w:rPr>
          <w:rFonts w:hint="eastAsia" w:ascii="宋体" w:hAnsi="宋体" w:cs="仿宋_GB2312"/>
          <w:color w:val="auto"/>
          <w:kern w:val="0"/>
          <w:sz w:val="24"/>
          <w:highlight w:val="none"/>
          <w:shd w:val="clear" w:color="auto" w:fill="FFFFFF"/>
        </w:rPr>
        <w:t>地址：池州市长江南路398号波斯曼大厦17楼</w:t>
      </w:r>
      <w:r>
        <w:rPr>
          <w:rFonts w:hint="eastAsia" w:ascii="宋体" w:hAnsi="宋体" w:cs="仿宋_GB2312"/>
          <w:color w:val="auto"/>
          <w:kern w:val="0"/>
          <w:sz w:val="24"/>
          <w:highlight w:val="none"/>
          <w:shd w:val="clear" w:color="auto" w:fill="FFFFFF"/>
          <w:lang w:val="en-US" w:eastAsia="zh-CN"/>
        </w:rPr>
        <w:t xml:space="preserve"> </w:t>
      </w:r>
      <w:r>
        <w:rPr>
          <w:rFonts w:hint="eastAsia" w:ascii="宋体" w:hAnsi="宋体" w:cs="仿宋_GB2312"/>
          <w:color w:val="auto"/>
          <w:kern w:val="0"/>
          <w:sz w:val="24"/>
          <w:highlight w:val="none"/>
          <w:shd w:val="clear" w:color="auto" w:fill="FFFFFF"/>
        </w:rPr>
        <w:t>　　　　</w:t>
      </w:r>
    </w:p>
    <w:p w14:paraId="1F0D841E">
      <w:pPr>
        <w:widowControl/>
        <w:shd w:val="clear" w:color="auto" w:fill="FFFFFF"/>
        <w:spacing w:line="360" w:lineRule="auto"/>
        <w:ind w:firstLine="480" w:firstLineChars="200"/>
        <w:jc w:val="left"/>
        <w:rPr>
          <w:rFonts w:hint="default" w:ascii="宋体" w:hAnsi="宋体" w:cs="仿宋_GB2312"/>
          <w:color w:val="auto"/>
          <w:kern w:val="0"/>
          <w:sz w:val="24"/>
          <w:highlight w:val="yellow"/>
          <w:shd w:val="clear" w:color="auto" w:fill="FFFFFF"/>
          <w:lang w:val="en-US" w:eastAsia="zh-CN"/>
        </w:rPr>
      </w:pPr>
      <w:r>
        <w:rPr>
          <w:rFonts w:hint="eastAsia" w:ascii="宋体" w:hAnsi="宋体" w:cs="仿宋_GB2312"/>
          <w:color w:val="auto"/>
          <w:kern w:val="0"/>
          <w:sz w:val="24"/>
          <w:highlight w:val="yellow"/>
          <w:shd w:val="clear" w:color="auto" w:fill="FFFFFF"/>
        </w:rPr>
        <w:t>联系方式：</w:t>
      </w:r>
      <w:r>
        <w:rPr>
          <w:rFonts w:hint="eastAsia" w:ascii="宋体" w:hAnsi="宋体" w:cs="仿宋_GB2312"/>
          <w:color w:val="auto"/>
          <w:kern w:val="0"/>
          <w:sz w:val="24"/>
          <w:highlight w:val="yellow"/>
          <w:shd w:val="clear" w:color="auto" w:fill="FFFFFF"/>
          <w:lang w:val="en-US" w:eastAsia="zh-CN"/>
        </w:rPr>
        <w:t>18056615101</w:t>
      </w:r>
    </w:p>
    <w:p w14:paraId="2059EBBB">
      <w:pPr>
        <w:widowControl/>
        <w:shd w:val="clear" w:color="auto" w:fill="FFFFFF"/>
        <w:spacing w:line="360" w:lineRule="auto"/>
        <w:ind w:firstLine="480" w:firstLineChars="200"/>
        <w:jc w:val="left"/>
        <w:rPr>
          <w:rFonts w:hint="eastAsia" w:ascii="宋体" w:hAnsi="宋体" w:cs="仿宋_GB2312"/>
          <w:color w:val="auto"/>
          <w:kern w:val="0"/>
          <w:sz w:val="24"/>
          <w:highlight w:val="none"/>
          <w:shd w:val="clear" w:color="auto" w:fill="FFFFFF"/>
        </w:rPr>
      </w:pPr>
      <w:r>
        <w:rPr>
          <w:rFonts w:hint="eastAsia" w:ascii="宋体" w:hAnsi="宋体" w:cs="仿宋_GB2312"/>
          <w:color w:val="auto"/>
          <w:kern w:val="0"/>
          <w:sz w:val="24"/>
          <w:highlight w:val="none"/>
          <w:shd w:val="clear" w:color="auto" w:fill="FFFFFF"/>
        </w:rPr>
        <w:t>2.采购代理机构信息</w:t>
      </w:r>
    </w:p>
    <w:p w14:paraId="19B68655">
      <w:pPr>
        <w:widowControl/>
        <w:shd w:val="clear" w:color="auto" w:fill="FFFFFF"/>
        <w:spacing w:line="360" w:lineRule="auto"/>
        <w:ind w:firstLine="480" w:firstLineChars="200"/>
        <w:jc w:val="left"/>
        <w:rPr>
          <w:rFonts w:hint="eastAsia" w:ascii="宋体" w:hAnsi="宋体" w:cs="仿宋_GB2312"/>
          <w:color w:val="auto"/>
          <w:kern w:val="0"/>
          <w:sz w:val="24"/>
          <w:highlight w:val="none"/>
          <w:shd w:val="clear" w:color="auto" w:fill="FFFFFF"/>
        </w:rPr>
      </w:pPr>
      <w:r>
        <w:rPr>
          <w:rFonts w:hint="eastAsia" w:ascii="宋体" w:hAnsi="宋体" w:cs="仿宋_GB2312"/>
          <w:color w:val="auto"/>
          <w:kern w:val="0"/>
          <w:sz w:val="24"/>
          <w:highlight w:val="none"/>
          <w:shd w:val="clear" w:color="auto" w:fill="FFFFFF"/>
        </w:rPr>
        <w:t>名 称：阶梯项目咨询有限公司　　　　　　　　　　　　</w:t>
      </w:r>
    </w:p>
    <w:p w14:paraId="20E365A9">
      <w:pPr>
        <w:widowControl/>
        <w:shd w:val="clear" w:color="auto" w:fill="FFFFFF"/>
        <w:spacing w:line="360" w:lineRule="auto"/>
        <w:ind w:firstLine="480" w:firstLineChars="200"/>
        <w:jc w:val="left"/>
        <w:rPr>
          <w:rFonts w:hint="eastAsia" w:ascii="宋体" w:hAnsi="宋体" w:cs="仿宋_GB2312"/>
          <w:color w:val="auto"/>
          <w:kern w:val="0"/>
          <w:sz w:val="24"/>
          <w:highlight w:val="none"/>
          <w:shd w:val="clear" w:color="auto" w:fill="FFFFFF"/>
        </w:rPr>
      </w:pPr>
      <w:r>
        <w:rPr>
          <w:rFonts w:hint="eastAsia" w:ascii="宋体" w:hAnsi="宋体" w:cs="仿宋_GB2312"/>
          <w:color w:val="auto"/>
          <w:kern w:val="0"/>
          <w:sz w:val="24"/>
          <w:highlight w:val="none"/>
          <w:shd w:val="clear" w:color="auto" w:fill="FFFFFF"/>
        </w:rPr>
        <w:t>地　址：池州市贵池长江路与百牙路交汇处汇安楼6楼</w:t>
      </w:r>
    </w:p>
    <w:p w14:paraId="03910694">
      <w:pPr>
        <w:widowControl/>
        <w:shd w:val="clear" w:color="auto" w:fill="FFFFFF"/>
        <w:spacing w:line="360" w:lineRule="auto"/>
        <w:ind w:firstLine="480" w:firstLineChars="200"/>
        <w:jc w:val="left"/>
        <w:rPr>
          <w:rFonts w:hint="eastAsia" w:ascii="宋体" w:hAnsi="宋体" w:cs="仿宋_GB2312"/>
          <w:color w:val="auto"/>
          <w:kern w:val="0"/>
          <w:sz w:val="24"/>
          <w:highlight w:val="none"/>
          <w:shd w:val="clear" w:color="auto" w:fill="FFFFFF"/>
        </w:rPr>
      </w:pPr>
      <w:r>
        <w:rPr>
          <w:rFonts w:hint="eastAsia" w:ascii="宋体" w:hAnsi="宋体" w:cs="仿宋_GB2312"/>
          <w:color w:val="auto"/>
          <w:kern w:val="0"/>
          <w:sz w:val="24"/>
          <w:highlight w:val="none"/>
          <w:shd w:val="clear" w:color="auto" w:fill="FFFFFF"/>
        </w:rPr>
        <w:t>联系方式：15056600233　　　　　　　　　　　</w:t>
      </w:r>
    </w:p>
    <w:p w14:paraId="40582CA6">
      <w:pPr>
        <w:widowControl/>
        <w:shd w:val="clear" w:color="auto" w:fill="FFFFFF"/>
        <w:spacing w:line="360" w:lineRule="auto"/>
        <w:ind w:firstLine="480" w:firstLineChars="200"/>
        <w:jc w:val="left"/>
        <w:rPr>
          <w:rFonts w:hint="eastAsia" w:ascii="宋体" w:hAnsi="宋体" w:cs="仿宋_GB2312"/>
          <w:color w:val="auto"/>
          <w:kern w:val="0"/>
          <w:sz w:val="24"/>
          <w:highlight w:val="none"/>
          <w:shd w:val="clear" w:color="auto" w:fill="FFFFFF"/>
        </w:rPr>
      </w:pPr>
      <w:r>
        <w:rPr>
          <w:rFonts w:hint="eastAsia" w:ascii="宋体" w:hAnsi="宋体" w:cs="仿宋_GB2312"/>
          <w:color w:val="auto"/>
          <w:kern w:val="0"/>
          <w:sz w:val="24"/>
          <w:highlight w:val="none"/>
          <w:shd w:val="clear" w:color="auto" w:fill="FFFFFF"/>
        </w:rPr>
        <w:t>3.项目联系方式</w:t>
      </w:r>
    </w:p>
    <w:p w14:paraId="09FA4D78">
      <w:pPr>
        <w:widowControl/>
        <w:shd w:val="clear" w:color="auto" w:fill="FFFFFF"/>
        <w:spacing w:line="360" w:lineRule="auto"/>
        <w:ind w:firstLine="480" w:firstLineChars="200"/>
        <w:jc w:val="left"/>
        <w:rPr>
          <w:rFonts w:hint="eastAsia" w:ascii="宋体" w:hAnsi="宋体" w:cs="仿宋_GB2312"/>
          <w:color w:val="auto"/>
          <w:kern w:val="0"/>
          <w:sz w:val="24"/>
          <w:highlight w:val="none"/>
          <w:shd w:val="clear" w:color="auto" w:fill="FFFFFF"/>
        </w:rPr>
      </w:pPr>
      <w:r>
        <w:rPr>
          <w:rFonts w:hint="eastAsia" w:ascii="宋体" w:hAnsi="宋体" w:cs="仿宋_GB2312"/>
          <w:color w:val="auto"/>
          <w:kern w:val="0"/>
          <w:sz w:val="24"/>
          <w:highlight w:val="none"/>
          <w:shd w:val="clear" w:color="auto" w:fill="FFFFFF"/>
        </w:rPr>
        <w:t>项目联系人：汪银</w:t>
      </w:r>
    </w:p>
    <w:p w14:paraId="04A6645F">
      <w:pPr>
        <w:widowControl/>
        <w:shd w:val="clear" w:color="auto" w:fill="FFFFFF"/>
        <w:spacing w:line="360" w:lineRule="auto"/>
        <w:ind w:firstLine="480" w:firstLineChars="200"/>
        <w:jc w:val="left"/>
        <w:rPr>
          <w:color w:val="auto"/>
          <w:highlight w:val="none"/>
        </w:rPr>
      </w:pPr>
      <w:r>
        <w:rPr>
          <w:rFonts w:hint="eastAsia" w:ascii="宋体" w:hAnsi="宋体" w:cs="仿宋_GB2312"/>
          <w:color w:val="auto"/>
          <w:kern w:val="0"/>
          <w:sz w:val="24"/>
          <w:highlight w:val="none"/>
          <w:shd w:val="clear" w:color="auto" w:fill="FFFFFF"/>
        </w:rPr>
        <w:t>电　话：15056600233</w:t>
      </w:r>
    </w:p>
    <w:p w14:paraId="6B87827D">
      <w:pPr>
        <w:spacing w:line="360" w:lineRule="auto"/>
        <w:ind w:left="838" w:leftChars="399"/>
        <w:jc w:val="left"/>
        <w:rPr>
          <w:rFonts w:hint="eastAsia" w:ascii="宋体" w:hAnsi="宋体" w:cs="宋体"/>
          <w:color w:val="auto"/>
          <w:kern w:val="0"/>
          <w:sz w:val="24"/>
          <w:highlight w:val="none"/>
        </w:rPr>
      </w:pPr>
    </w:p>
    <w:p w14:paraId="12710497">
      <w:pPr>
        <w:pStyle w:val="207"/>
        <w:pageBreakBefore/>
        <w:spacing w:before="240" w:after="240"/>
        <w:rPr>
          <w:rFonts w:hint="eastAsia"/>
          <w:color w:val="auto"/>
          <w:sz w:val="32"/>
          <w:szCs w:val="32"/>
          <w:highlight w:val="none"/>
        </w:rPr>
      </w:pPr>
      <w:r>
        <w:rPr>
          <w:rFonts w:hint="eastAsia"/>
          <w:color w:val="auto"/>
          <w:sz w:val="32"/>
          <w:szCs w:val="32"/>
          <w:highlight w:val="none"/>
        </w:rPr>
        <w:t>第二章 供应商须知</w:t>
      </w:r>
    </w:p>
    <w:bookmarkEnd w:id="1"/>
    <w:p w14:paraId="53023DE2">
      <w:pPr>
        <w:widowControl/>
        <w:jc w:val="center"/>
        <w:rPr>
          <w:color w:val="auto"/>
          <w:highlight w:val="none"/>
        </w:rPr>
      </w:pPr>
      <w:r>
        <w:rPr>
          <w:rFonts w:hint="eastAsia" w:ascii="宋体" w:hAnsi="宋体" w:cs="宋体"/>
          <w:b/>
          <w:bCs/>
          <w:color w:val="auto"/>
          <w:kern w:val="0"/>
          <w:sz w:val="24"/>
          <w:highlight w:val="none"/>
        </w:rPr>
        <w:t>一、供应商须知前附表</w:t>
      </w:r>
    </w:p>
    <w:p w14:paraId="2109C7B3">
      <w:pPr>
        <w:adjustRightInd w:val="0"/>
        <w:snapToGrid w:val="0"/>
        <w:spacing w:line="360" w:lineRule="auto"/>
        <w:rPr>
          <w:rFonts w:hint="eastAsia" w:ascii="宋体" w:hAnsi="宋体"/>
          <w:color w:val="auto"/>
          <w:szCs w:val="21"/>
          <w:highlight w:val="none"/>
        </w:rPr>
      </w:pPr>
      <w:r>
        <w:rPr>
          <w:rFonts w:hint="eastAsia" w:ascii="宋体" w:hAnsi="宋体"/>
          <w:b/>
          <w:color w:val="auto"/>
          <w:szCs w:val="21"/>
          <w:highlight w:val="none"/>
        </w:rPr>
        <w:t>注意事项：本章是对第五章“供应商须知”具体补充和修改，如有不一致的，应以本前附表为准。</w:t>
      </w:r>
    </w:p>
    <w:tbl>
      <w:tblPr>
        <w:tblStyle w:val="77"/>
        <w:tblW w:w="958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71"/>
        <w:gridCol w:w="1724"/>
        <w:gridCol w:w="6489"/>
      </w:tblGrid>
      <w:tr w14:paraId="56214B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4" w:hRule="atLeast"/>
          <w:tblHeader/>
          <w:jc w:val="center"/>
        </w:trPr>
        <w:tc>
          <w:tcPr>
            <w:tcW w:w="1371" w:type="dxa"/>
            <w:tcBorders>
              <w:top w:val="single" w:color="auto" w:sz="12" w:space="0"/>
              <w:left w:val="single" w:color="auto" w:sz="12" w:space="0"/>
              <w:bottom w:val="single" w:color="auto" w:sz="6" w:space="0"/>
            </w:tcBorders>
            <w:vAlign w:val="center"/>
          </w:tcPr>
          <w:p w14:paraId="14CD9B31">
            <w:pPr>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条款号</w:t>
            </w:r>
          </w:p>
        </w:tc>
        <w:tc>
          <w:tcPr>
            <w:tcW w:w="1724" w:type="dxa"/>
            <w:tcBorders>
              <w:top w:val="single" w:color="auto" w:sz="12" w:space="0"/>
              <w:bottom w:val="single" w:color="auto" w:sz="6" w:space="0"/>
            </w:tcBorders>
            <w:vAlign w:val="center"/>
          </w:tcPr>
          <w:p w14:paraId="412BA6CB">
            <w:pPr>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条款名称</w:t>
            </w:r>
          </w:p>
        </w:tc>
        <w:tc>
          <w:tcPr>
            <w:tcW w:w="6489" w:type="dxa"/>
            <w:tcBorders>
              <w:top w:val="single" w:color="auto" w:sz="12" w:space="0"/>
              <w:bottom w:val="single" w:color="auto" w:sz="6" w:space="0"/>
              <w:right w:val="single" w:color="auto" w:sz="12" w:space="0"/>
            </w:tcBorders>
            <w:vAlign w:val="center"/>
          </w:tcPr>
          <w:p w14:paraId="657FC0CF">
            <w:pPr>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编列内容规定</w:t>
            </w:r>
          </w:p>
        </w:tc>
      </w:tr>
      <w:tr w14:paraId="66E431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jc w:val="center"/>
        </w:trPr>
        <w:tc>
          <w:tcPr>
            <w:tcW w:w="1371" w:type="dxa"/>
            <w:tcBorders>
              <w:top w:val="single" w:color="auto" w:sz="6" w:space="0"/>
              <w:left w:val="single" w:color="auto" w:sz="12" w:space="0"/>
              <w:bottom w:val="single" w:color="auto" w:sz="6" w:space="0"/>
            </w:tcBorders>
            <w:vAlign w:val="center"/>
          </w:tcPr>
          <w:p w14:paraId="070586DD">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5.2</w:t>
            </w:r>
          </w:p>
        </w:tc>
        <w:tc>
          <w:tcPr>
            <w:tcW w:w="1724" w:type="dxa"/>
            <w:tcBorders>
              <w:top w:val="single" w:color="auto" w:sz="6" w:space="0"/>
              <w:bottom w:val="single" w:color="auto" w:sz="6" w:space="0"/>
            </w:tcBorders>
            <w:vAlign w:val="center"/>
          </w:tcPr>
          <w:p w14:paraId="68C64506">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现场考察或标前</w:t>
            </w:r>
          </w:p>
          <w:p w14:paraId="7D5A92FE">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答疑会</w:t>
            </w:r>
          </w:p>
        </w:tc>
        <w:tc>
          <w:tcPr>
            <w:tcW w:w="6489" w:type="dxa"/>
            <w:tcBorders>
              <w:top w:val="single" w:color="auto" w:sz="6" w:space="0"/>
              <w:bottom w:val="single" w:color="auto" w:sz="6" w:space="0"/>
              <w:right w:val="single" w:color="auto" w:sz="12" w:space="0"/>
            </w:tcBorders>
            <w:vAlign w:val="center"/>
          </w:tcPr>
          <w:p w14:paraId="7EDCF930">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☑不组织或不召开</w:t>
            </w:r>
          </w:p>
          <w:p w14:paraId="40A45988">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□统一组织</w:t>
            </w:r>
          </w:p>
          <w:p w14:paraId="52CEF284">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时间： 年 月 日 时 分</w:t>
            </w:r>
          </w:p>
          <w:p w14:paraId="2506438E">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地点：</w:t>
            </w:r>
          </w:p>
          <w:p w14:paraId="677B672B">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联系人及联系电话：</w:t>
            </w:r>
          </w:p>
          <w:p w14:paraId="5B10CB3F">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注：如供应商未参加采购人统一组织的现场考察或采购人统一召开的标前答疑会，视同放弃现场考察或标前答疑会，由此引起的一切责任由供应商自行承担。</w:t>
            </w:r>
          </w:p>
        </w:tc>
      </w:tr>
      <w:tr w14:paraId="6F2842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jc w:val="center"/>
        </w:trPr>
        <w:tc>
          <w:tcPr>
            <w:tcW w:w="1371" w:type="dxa"/>
            <w:tcBorders>
              <w:top w:val="single" w:color="auto" w:sz="6" w:space="0"/>
              <w:left w:val="single" w:color="auto" w:sz="12" w:space="0"/>
              <w:bottom w:val="single" w:color="auto" w:sz="6" w:space="0"/>
            </w:tcBorders>
            <w:vAlign w:val="center"/>
          </w:tcPr>
          <w:p w14:paraId="5F05871A">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6.1</w:t>
            </w:r>
          </w:p>
        </w:tc>
        <w:tc>
          <w:tcPr>
            <w:tcW w:w="1724" w:type="dxa"/>
            <w:tcBorders>
              <w:top w:val="single" w:color="auto" w:sz="6" w:space="0"/>
              <w:bottom w:val="single" w:color="auto" w:sz="6" w:space="0"/>
            </w:tcBorders>
            <w:vAlign w:val="center"/>
          </w:tcPr>
          <w:p w14:paraId="09787294">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询问截止时间</w:t>
            </w:r>
          </w:p>
        </w:tc>
        <w:tc>
          <w:tcPr>
            <w:tcW w:w="6489" w:type="dxa"/>
            <w:tcBorders>
              <w:top w:val="single" w:color="auto" w:sz="6" w:space="0"/>
              <w:bottom w:val="single" w:color="auto" w:sz="6" w:space="0"/>
              <w:right w:val="single" w:color="auto" w:sz="12" w:space="0"/>
            </w:tcBorders>
            <w:vAlign w:val="center"/>
          </w:tcPr>
          <w:p w14:paraId="3CF1FF57">
            <w:pPr>
              <w:adjustRightInd w:val="0"/>
              <w:snapToGrid w:val="0"/>
              <w:spacing w:line="360" w:lineRule="auto"/>
              <w:rPr>
                <w:rFonts w:hint="eastAsia" w:ascii="宋体" w:hAnsi="宋体"/>
                <w:color w:val="auto"/>
                <w:szCs w:val="21"/>
                <w:highlight w:val="none"/>
              </w:rPr>
            </w:pPr>
            <w:r>
              <w:rPr>
                <w:rFonts w:hint="eastAsia" w:ascii="宋体" w:hAnsi="宋体" w:cs="Times New Roman"/>
                <w:color w:val="auto"/>
                <w:szCs w:val="21"/>
                <w:highlight w:val="none"/>
              </w:rPr>
              <w:t>2026年</w:t>
            </w:r>
            <w:r>
              <w:rPr>
                <w:rFonts w:hint="eastAsia" w:ascii="宋体" w:hAnsi="宋体" w:cs="Times New Roman"/>
                <w:color w:val="auto"/>
                <w:szCs w:val="21"/>
                <w:highlight w:val="none"/>
                <w:lang w:val="en-US" w:eastAsia="zh-CN"/>
              </w:rPr>
              <w:t>5</w:t>
            </w:r>
            <w:r>
              <w:rPr>
                <w:rFonts w:hint="eastAsia" w:ascii="宋体" w:hAnsi="宋体" w:cs="Times New Roman"/>
                <w:color w:val="auto"/>
                <w:szCs w:val="21"/>
                <w:highlight w:val="none"/>
              </w:rPr>
              <w:t>月</w:t>
            </w:r>
            <w:r>
              <w:rPr>
                <w:rFonts w:hint="eastAsia" w:ascii="宋体" w:hAnsi="宋体" w:cs="Times New Roman"/>
                <w:color w:val="auto"/>
                <w:szCs w:val="21"/>
                <w:highlight w:val="none"/>
                <w:lang w:val="en-US" w:eastAsia="zh-CN"/>
              </w:rPr>
              <w:t>9</w:t>
            </w:r>
            <w:r>
              <w:rPr>
                <w:rFonts w:hint="eastAsia" w:ascii="宋体" w:hAnsi="宋体" w:cs="Times New Roman"/>
                <w:color w:val="auto"/>
                <w:szCs w:val="21"/>
                <w:highlight w:val="none"/>
              </w:rPr>
              <w:t>日</w:t>
            </w:r>
            <w:r>
              <w:rPr>
                <w:rFonts w:hint="eastAsia" w:ascii="宋体" w:hAnsi="宋体" w:cs="Times New Roman"/>
                <w:color w:val="auto"/>
                <w:szCs w:val="21"/>
                <w:highlight w:val="none"/>
                <w:lang w:val="en-US" w:eastAsia="zh-CN"/>
              </w:rPr>
              <w:t>15</w:t>
            </w:r>
            <w:r>
              <w:rPr>
                <w:rFonts w:hint="eastAsia" w:ascii="宋体" w:hAnsi="宋体" w:cs="Times New Roman"/>
                <w:color w:val="auto"/>
                <w:szCs w:val="21"/>
                <w:highlight w:val="none"/>
              </w:rPr>
              <w:t xml:space="preserve">点 </w:t>
            </w:r>
            <w:r>
              <w:rPr>
                <w:rFonts w:hint="eastAsia" w:ascii="宋体" w:hAnsi="宋体" w:cs="Times New Roman"/>
                <w:color w:val="auto"/>
                <w:szCs w:val="21"/>
                <w:highlight w:val="none"/>
                <w:lang w:val="en-US" w:eastAsia="zh-CN"/>
              </w:rPr>
              <w:t>0</w:t>
            </w:r>
            <w:r>
              <w:rPr>
                <w:rFonts w:hint="eastAsia" w:ascii="宋体" w:hAnsi="宋体" w:cs="Times New Roman"/>
                <w:color w:val="auto"/>
                <w:szCs w:val="21"/>
                <w:highlight w:val="none"/>
              </w:rPr>
              <w:t>0 分</w:t>
            </w:r>
          </w:p>
        </w:tc>
      </w:tr>
      <w:tr w14:paraId="41DB73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jc w:val="center"/>
        </w:trPr>
        <w:tc>
          <w:tcPr>
            <w:tcW w:w="1371" w:type="dxa"/>
            <w:tcBorders>
              <w:top w:val="single" w:color="auto" w:sz="6" w:space="0"/>
              <w:left w:val="single" w:color="auto" w:sz="12" w:space="0"/>
              <w:bottom w:val="single" w:color="auto" w:sz="6" w:space="0"/>
            </w:tcBorders>
            <w:vAlign w:val="center"/>
          </w:tcPr>
          <w:p w14:paraId="362024D7">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7.1</w:t>
            </w:r>
          </w:p>
        </w:tc>
        <w:tc>
          <w:tcPr>
            <w:tcW w:w="1724" w:type="dxa"/>
            <w:tcBorders>
              <w:top w:val="single" w:color="auto" w:sz="6" w:space="0"/>
              <w:bottom w:val="single" w:color="auto" w:sz="6" w:space="0"/>
            </w:tcBorders>
            <w:vAlign w:val="center"/>
          </w:tcPr>
          <w:p w14:paraId="4C107ECE">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包别划分</w:t>
            </w:r>
          </w:p>
        </w:tc>
        <w:tc>
          <w:tcPr>
            <w:tcW w:w="6489" w:type="dxa"/>
            <w:tcBorders>
              <w:top w:val="single" w:color="auto" w:sz="6" w:space="0"/>
              <w:bottom w:val="single" w:color="auto" w:sz="6" w:space="0"/>
              <w:right w:val="single" w:color="auto" w:sz="12" w:space="0"/>
            </w:tcBorders>
            <w:vAlign w:val="center"/>
          </w:tcPr>
          <w:p w14:paraId="39171F64">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☑不分包 □分为/个包</w:t>
            </w:r>
          </w:p>
          <w:p w14:paraId="0058D1F4">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供应商参加多个包磋商的成交包数规定：</w:t>
            </w:r>
          </w:p>
        </w:tc>
      </w:tr>
      <w:tr w14:paraId="72E1C0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5" w:hRule="atLeast"/>
          <w:jc w:val="center"/>
        </w:trPr>
        <w:tc>
          <w:tcPr>
            <w:tcW w:w="1371" w:type="dxa"/>
            <w:tcBorders>
              <w:top w:val="single" w:color="auto" w:sz="6" w:space="0"/>
              <w:left w:val="single" w:color="auto" w:sz="12" w:space="0"/>
              <w:bottom w:val="single" w:color="auto" w:sz="6" w:space="0"/>
            </w:tcBorders>
            <w:vAlign w:val="center"/>
          </w:tcPr>
          <w:p w14:paraId="7E128247">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10.1</w:t>
            </w:r>
          </w:p>
        </w:tc>
        <w:tc>
          <w:tcPr>
            <w:tcW w:w="1724" w:type="dxa"/>
            <w:tcBorders>
              <w:top w:val="single" w:color="auto" w:sz="6" w:space="0"/>
              <w:bottom w:val="single" w:color="auto" w:sz="6" w:space="0"/>
            </w:tcBorders>
            <w:vAlign w:val="center"/>
          </w:tcPr>
          <w:p w14:paraId="6D002060">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磋商保证金</w:t>
            </w:r>
          </w:p>
        </w:tc>
        <w:tc>
          <w:tcPr>
            <w:tcW w:w="6489" w:type="dxa"/>
            <w:tcBorders>
              <w:top w:val="single" w:color="auto" w:sz="6" w:space="0"/>
              <w:bottom w:val="single" w:color="auto" w:sz="6" w:space="0"/>
              <w:right w:val="single" w:color="auto" w:sz="12" w:space="0"/>
            </w:tcBorders>
            <w:vAlign w:val="center"/>
          </w:tcPr>
          <w:p w14:paraId="454D56E7">
            <w:pPr>
              <w:adjustRightInd w:val="0"/>
              <w:snapToGrid w:val="0"/>
              <w:spacing w:line="360" w:lineRule="auto"/>
              <w:rPr>
                <w:color w:val="auto"/>
                <w:szCs w:val="21"/>
                <w:highlight w:val="none"/>
              </w:rPr>
            </w:pPr>
            <w:r>
              <w:rPr>
                <w:rFonts w:hint="eastAsia"/>
                <w:color w:val="auto"/>
                <w:szCs w:val="21"/>
                <w:highlight w:val="none"/>
              </w:rPr>
              <w:t>不收取</w:t>
            </w:r>
          </w:p>
        </w:tc>
      </w:tr>
      <w:tr w14:paraId="333F2D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5" w:hRule="atLeast"/>
          <w:jc w:val="center"/>
        </w:trPr>
        <w:tc>
          <w:tcPr>
            <w:tcW w:w="1371" w:type="dxa"/>
            <w:tcBorders>
              <w:top w:val="single" w:color="auto" w:sz="6" w:space="0"/>
              <w:left w:val="single" w:color="auto" w:sz="12" w:space="0"/>
              <w:bottom w:val="single" w:color="auto" w:sz="6" w:space="0"/>
            </w:tcBorders>
            <w:vAlign w:val="center"/>
          </w:tcPr>
          <w:p w14:paraId="5DEC8AFD">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11.1</w:t>
            </w:r>
          </w:p>
        </w:tc>
        <w:tc>
          <w:tcPr>
            <w:tcW w:w="1724" w:type="dxa"/>
            <w:tcBorders>
              <w:top w:val="single" w:color="auto" w:sz="6" w:space="0"/>
              <w:bottom w:val="single" w:color="auto" w:sz="6" w:space="0"/>
            </w:tcBorders>
            <w:vAlign w:val="center"/>
          </w:tcPr>
          <w:p w14:paraId="6C7ECA9E">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磋商有效期</w:t>
            </w:r>
          </w:p>
        </w:tc>
        <w:tc>
          <w:tcPr>
            <w:tcW w:w="6489" w:type="dxa"/>
            <w:tcBorders>
              <w:top w:val="single" w:color="auto" w:sz="6" w:space="0"/>
              <w:bottom w:val="single" w:color="auto" w:sz="6" w:space="0"/>
              <w:right w:val="single" w:color="auto" w:sz="12" w:space="0"/>
            </w:tcBorders>
            <w:vAlign w:val="center"/>
          </w:tcPr>
          <w:p w14:paraId="7659890F">
            <w:pPr>
              <w:adjustRightInd w:val="0"/>
              <w:snapToGrid w:val="0"/>
              <w:spacing w:line="360" w:lineRule="auto"/>
              <w:rPr>
                <w:color w:val="auto"/>
                <w:szCs w:val="21"/>
                <w:highlight w:val="none"/>
              </w:rPr>
            </w:pPr>
            <w:r>
              <w:rPr>
                <w:rFonts w:hint="eastAsia"/>
                <w:color w:val="auto"/>
                <w:szCs w:val="21"/>
                <w:highlight w:val="none"/>
              </w:rPr>
              <w:t>60日历天</w:t>
            </w:r>
          </w:p>
        </w:tc>
      </w:tr>
      <w:tr w14:paraId="12DDC2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5" w:hRule="atLeast"/>
          <w:jc w:val="center"/>
        </w:trPr>
        <w:tc>
          <w:tcPr>
            <w:tcW w:w="1371" w:type="dxa"/>
            <w:tcBorders>
              <w:top w:val="single" w:color="auto" w:sz="6" w:space="0"/>
              <w:left w:val="single" w:color="auto" w:sz="12" w:space="0"/>
              <w:bottom w:val="single" w:color="auto" w:sz="6" w:space="0"/>
            </w:tcBorders>
            <w:vAlign w:val="center"/>
          </w:tcPr>
          <w:p w14:paraId="27D84A94">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12.3</w:t>
            </w:r>
          </w:p>
        </w:tc>
        <w:tc>
          <w:tcPr>
            <w:tcW w:w="1724" w:type="dxa"/>
            <w:tcBorders>
              <w:top w:val="single" w:color="auto" w:sz="6" w:space="0"/>
              <w:bottom w:val="single" w:color="auto" w:sz="6" w:space="0"/>
            </w:tcBorders>
            <w:vAlign w:val="center"/>
          </w:tcPr>
          <w:p w14:paraId="5966AA50">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响应文件递交时间</w:t>
            </w:r>
          </w:p>
        </w:tc>
        <w:tc>
          <w:tcPr>
            <w:tcW w:w="6489" w:type="dxa"/>
            <w:tcBorders>
              <w:top w:val="single" w:color="auto" w:sz="6" w:space="0"/>
              <w:bottom w:val="single" w:color="auto" w:sz="6" w:space="0"/>
              <w:right w:val="single" w:color="auto" w:sz="12" w:space="0"/>
            </w:tcBorders>
            <w:vAlign w:val="center"/>
          </w:tcPr>
          <w:p w14:paraId="13C85356">
            <w:pPr>
              <w:adjustRightInd w:val="0"/>
              <w:snapToGrid w:val="0"/>
              <w:spacing w:line="360" w:lineRule="auto"/>
              <w:rPr>
                <w:color w:val="auto"/>
                <w:szCs w:val="21"/>
                <w:highlight w:val="none"/>
              </w:rPr>
            </w:pPr>
            <w:r>
              <w:rPr>
                <w:rFonts w:hint="eastAsia"/>
                <w:color w:val="auto"/>
                <w:szCs w:val="21"/>
                <w:highlight w:val="none"/>
              </w:rPr>
              <w:t>截止时间详见磋商邀请函，</w:t>
            </w:r>
          </w:p>
        </w:tc>
      </w:tr>
      <w:tr w14:paraId="1DC8A5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5" w:hRule="atLeast"/>
          <w:jc w:val="center"/>
        </w:trPr>
        <w:tc>
          <w:tcPr>
            <w:tcW w:w="1371" w:type="dxa"/>
            <w:tcBorders>
              <w:top w:val="single" w:color="auto" w:sz="6" w:space="0"/>
              <w:left w:val="single" w:color="auto" w:sz="12" w:space="0"/>
              <w:bottom w:val="single" w:color="auto" w:sz="6" w:space="0"/>
            </w:tcBorders>
            <w:vAlign w:val="center"/>
          </w:tcPr>
          <w:p w14:paraId="41C09099">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14.2</w:t>
            </w:r>
          </w:p>
        </w:tc>
        <w:tc>
          <w:tcPr>
            <w:tcW w:w="1724" w:type="dxa"/>
            <w:tcBorders>
              <w:top w:val="single" w:color="auto" w:sz="6" w:space="0"/>
              <w:bottom w:val="single" w:color="auto" w:sz="6" w:space="0"/>
            </w:tcBorders>
            <w:vAlign w:val="center"/>
          </w:tcPr>
          <w:p w14:paraId="2C67995F">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评审方法</w:t>
            </w:r>
          </w:p>
        </w:tc>
        <w:tc>
          <w:tcPr>
            <w:tcW w:w="6489" w:type="dxa"/>
            <w:tcBorders>
              <w:top w:val="single" w:color="auto" w:sz="6" w:space="0"/>
              <w:bottom w:val="single" w:color="auto" w:sz="6" w:space="0"/>
              <w:right w:val="single" w:color="auto" w:sz="12" w:space="0"/>
            </w:tcBorders>
            <w:vAlign w:val="center"/>
          </w:tcPr>
          <w:p w14:paraId="32B3F536">
            <w:pPr>
              <w:adjustRightInd w:val="0"/>
              <w:snapToGrid w:val="0"/>
              <w:spacing w:line="360" w:lineRule="auto"/>
              <w:rPr>
                <w:color w:val="auto"/>
                <w:szCs w:val="21"/>
                <w:highlight w:val="none"/>
              </w:rPr>
            </w:pPr>
            <w:r>
              <w:rPr>
                <w:rFonts w:hint="eastAsia"/>
                <w:color w:val="auto"/>
                <w:szCs w:val="21"/>
                <w:highlight w:val="none"/>
              </w:rPr>
              <w:t>综合评分法</w:t>
            </w:r>
          </w:p>
        </w:tc>
      </w:tr>
      <w:tr w14:paraId="486040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7" w:hRule="atLeast"/>
          <w:jc w:val="center"/>
        </w:trPr>
        <w:tc>
          <w:tcPr>
            <w:tcW w:w="1371" w:type="dxa"/>
            <w:tcBorders>
              <w:top w:val="single" w:color="auto" w:sz="6" w:space="0"/>
              <w:left w:val="single" w:color="auto" w:sz="12" w:space="0"/>
            </w:tcBorders>
            <w:vAlign w:val="center"/>
          </w:tcPr>
          <w:p w14:paraId="62129B87">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15.1</w:t>
            </w:r>
          </w:p>
        </w:tc>
        <w:tc>
          <w:tcPr>
            <w:tcW w:w="1724" w:type="dxa"/>
            <w:tcBorders>
              <w:top w:val="single" w:color="auto" w:sz="6" w:space="0"/>
            </w:tcBorders>
            <w:vAlign w:val="center"/>
          </w:tcPr>
          <w:p w14:paraId="0CEA7FFE">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响应文件份数</w:t>
            </w:r>
          </w:p>
        </w:tc>
        <w:tc>
          <w:tcPr>
            <w:tcW w:w="6489" w:type="dxa"/>
            <w:tcBorders>
              <w:top w:val="single" w:color="auto" w:sz="6" w:space="0"/>
              <w:bottom w:val="single" w:color="auto" w:sz="6" w:space="0"/>
              <w:right w:val="single" w:color="auto" w:sz="12" w:space="0"/>
            </w:tcBorders>
            <w:vAlign w:val="center"/>
          </w:tcPr>
          <w:p w14:paraId="6B54AF8D">
            <w:pPr>
              <w:adjustRightInd w:val="0"/>
              <w:snapToGrid w:val="0"/>
              <w:spacing w:line="360" w:lineRule="auto"/>
              <w:rPr>
                <w:rFonts w:hint="eastAsia" w:ascii="宋体" w:hAnsi="宋体"/>
                <w:color w:val="auto"/>
                <w:szCs w:val="21"/>
                <w:highlight w:val="none"/>
              </w:rPr>
            </w:pPr>
            <w:r>
              <w:rPr>
                <w:rFonts w:hint="eastAsia" w:ascii="宋体" w:hAnsi="宋体"/>
                <w:b/>
                <w:color w:val="auto"/>
                <w:szCs w:val="21"/>
                <w:highlight w:val="none"/>
              </w:rPr>
              <w:t>正本壹份，副本贰份。 同时递交一份电子版U盘。建议一个信封密封。</w:t>
            </w:r>
          </w:p>
        </w:tc>
      </w:tr>
      <w:tr w14:paraId="2343B2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7" w:hRule="atLeast"/>
          <w:jc w:val="center"/>
        </w:trPr>
        <w:tc>
          <w:tcPr>
            <w:tcW w:w="1371" w:type="dxa"/>
            <w:tcBorders>
              <w:top w:val="single" w:color="auto" w:sz="6" w:space="0"/>
              <w:left w:val="single" w:color="auto" w:sz="12" w:space="0"/>
            </w:tcBorders>
            <w:vAlign w:val="center"/>
          </w:tcPr>
          <w:p w14:paraId="17DDF1A6">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15.5</w:t>
            </w:r>
          </w:p>
        </w:tc>
        <w:tc>
          <w:tcPr>
            <w:tcW w:w="1724" w:type="dxa"/>
            <w:tcBorders>
              <w:top w:val="single" w:color="auto" w:sz="6" w:space="0"/>
            </w:tcBorders>
            <w:vAlign w:val="center"/>
          </w:tcPr>
          <w:p w14:paraId="20E7D066">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响应文件的</w:t>
            </w:r>
          </w:p>
          <w:p w14:paraId="5935E103">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密封</w:t>
            </w:r>
          </w:p>
        </w:tc>
        <w:tc>
          <w:tcPr>
            <w:tcW w:w="6489" w:type="dxa"/>
            <w:tcBorders>
              <w:top w:val="single" w:color="auto" w:sz="6" w:space="0"/>
              <w:bottom w:val="single" w:color="auto" w:sz="6" w:space="0"/>
              <w:right w:val="single" w:color="auto" w:sz="12" w:space="0"/>
            </w:tcBorders>
            <w:vAlign w:val="center"/>
          </w:tcPr>
          <w:p w14:paraId="37E0F841">
            <w:pPr>
              <w:adjustRightInd w:val="0"/>
              <w:snapToGrid w:val="0"/>
              <w:spacing w:line="360" w:lineRule="auto"/>
              <w:rPr>
                <w:rFonts w:hint="eastAsia" w:ascii="宋体" w:hAnsi="宋体"/>
                <w:b/>
                <w:color w:val="auto"/>
                <w:szCs w:val="21"/>
                <w:highlight w:val="none"/>
              </w:rPr>
            </w:pPr>
            <w:r>
              <w:rPr>
                <w:rFonts w:hint="eastAsia" w:ascii="宋体" w:hAnsi="宋体"/>
                <w:color w:val="auto"/>
                <w:szCs w:val="21"/>
                <w:highlight w:val="none"/>
              </w:rPr>
              <w:t>响应文件均应密封完好，详情见本条款。</w:t>
            </w:r>
          </w:p>
        </w:tc>
      </w:tr>
      <w:tr w14:paraId="1FF5E0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7" w:hRule="atLeast"/>
          <w:jc w:val="center"/>
        </w:trPr>
        <w:tc>
          <w:tcPr>
            <w:tcW w:w="1371" w:type="dxa"/>
            <w:tcBorders>
              <w:top w:val="single" w:color="auto" w:sz="6" w:space="0"/>
              <w:left w:val="single" w:color="auto" w:sz="12" w:space="0"/>
            </w:tcBorders>
            <w:vAlign w:val="center"/>
          </w:tcPr>
          <w:p w14:paraId="25D7BED4">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15.6</w:t>
            </w:r>
          </w:p>
        </w:tc>
        <w:tc>
          <w:tcPr>
            <w:tcW w:w="1724" w:type="dxa"/>
            <w:tcBorders>
              <w:top w:val="single" w:color="auto" w:sz="6" w:space="0"/>
            </w:tcBorders>
            <w:vAlign w:val="center"/>
          </w:tcPr>
          <w:p w14:paraId="519EFE44">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响应文件</w:t>
            </w:r>
          </w:p>
          <w:p w14:paraId="094BB8A0">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密封标记</w:t>
            </w:r>
          </w:p>
        </w:tc>
        <w:tc>
          <w:tcPr>
            <w:tcW w:w="6489" w:type="dxa"/>
            <w:tcBorders>
              <w:top w:val="single" w:color="auto" w:sz="6" w:space="0"/>
              <w:bottom w:val="single" w:color="auto" w:sz="6" w:space="0"/>
              <w:right w:val="single" w:color="auto" w:sz="12" w:space="0"/>
            </w:tcBorders>
            <w:vAlign w:val="center"/>
          </w:tcPr>
          <w:p w14:paraId="0E304694">
            <w:pPr>
              <w:adjustRightInd w:val="0"/>
              <w:snapToGrid w:val="0"/>
              <w:spacing w:line="360" w:lineRule="auto"/>
              <w:rPr>
                <w:rFonts w:hint="eastAsia" w:ascii="宋体" w:hAnsi="宋体"/>
                <w:b/>
                <w:color w:val="auto"/>
                <w:szCs w:val="21"/>
                <w:highlight w:val="none"/>
              </w:rPr>
            </w:pPr>
            <w:r>
              <w:rPr>
                <w:rFonts w:hint="eastAsia" w:ascii="宋体" w:hAnsi="宋体"/>
                <w:color w:val="auto"/>
                <w:szCs w:val="21"/>
                <w:highlight w:val="none"/>
              </w:rPr>
              <w:t>密封袋上均应注明：项目名称、项目编号、所投包号（如有分包）、供应商名称和地址，及“请勿在</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r>
              <w:rPr>
                <w:rFonts w:hint="eastAsia" w:ascii="宋体" w:hAnsi="宋体"/>
                <w:color w:val="auto"/>
                <w:szCs w:val="21"/>
                <w:highlight w:val="none"/>
                <w:u w:val="single"/>
              </w:rPr>
              <w:t xml:space="preserve">  </w:t>
            </w:r>
            <w:r>
              <w:rPr>
                <w:rFonts w:hint="eastAsia" w:ascii="宋体" w:hAnsi="宋体"/>
                <w:color w:val="auto"/>
                <w:szCs w:val="21"/>
                <w:highlight w:val="none"/>
              </w:rPr>
              <w:t>时</w:t>
            </w:r>
            <w:r>
              <w:rPr>
                <w:rFonts w:hint="eastAsia" w:ascii="宋体" w:hAnsi="宋体"/>
                <w:color w:val="auto"/>
                <w:szCs w:val="21"/>
                <w:highlight w:val="none"/>
                <w:u w:val="single"/>
              </w:rPr>
              <w:t xml:space="preserve">  </w:t>
            </w:r>
            <w:r>
              <w:rPr>
                <w:rFonts w:hint="eastAsia" w:ascii="宋体" w:hAnsi="宋体"/>
                <w:color w:val="auto"/>
                <w:szCs w:val="21"/>
                <w:highlight w:val="none"/>
              </w:rPr>
              <w:t>分（磋商时间，详见“供应商须知前附表”的规定）之前启封”的字样。</w:t>
            </w:r>
          </w:p>
        </w:tc>
      </w:tr>
      <w:tr w14:paraId="5B4114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7" w:hRule="atLeast"/>
          <w:jc w:val="center"/>
        </w:trPr>
        <w:tc>
          <w:tcPr>
            <w:tcW w:w="1371" w:type="dxa"/>
            <w:vMerge w:val="restart"/>
            <w:tcBorders>
              <w:top w:val="single" w:color="auto" w:sz="6" w:space="0"/>
              <w:left w:val="single" w:color="auto" w:sz="12" w:space="0"/>
            </w:tcBorders>
            <w:vAlign w:val="center"/>
          </w:tcPr>
          <w:p w14:paraId="0CAFEC24">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19.1</w:t>
            </w:r>
          </w:p>
        </w:tc>
        <w:tc>
          <w:tcPr>
            <w:tcW w:w="1724" w:type="dxa"/>
            <w:vMerge w:val="restart"/>
            <w:tcBorders>
              <w:top w:val="single" w:color="auto" w:sz="6" w:space="0"/>
            </w:tcBorders>
            <w:vAlign w:val="center"/>
          </w:tcPr>
          <w:p w14:paraId="3287ECC7">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确定成交候选供</w:t>
            </w:r>
          </w:p>
          <w:p w14:paraId="2696751B">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应商和成交供应</w:t>
            </w:r>
          </w:p>
          <w:p w14:paraId="3EAA3554">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商</w:t>
            </w:r>
          </w:p>
        </w:tc>
        <w:tc>
          <w:tcPr>
            <w:tcW w:w="6489" w:type="dxa"/>
            <w:tcBorders>
              <w:top w:val="single" w:color="auto" w:sz="6" w:space="0"/>
              <w:bottom w:val="single" w:color="auto" w:sz="6" w:space="0"/>
              <w:right w:val="single" w:color="auto" w:sz="12" w:space="0"/>
            </w:tcBorders>
            <w:vAlign w:val="center"/>
          </w:tcPr>
          <w:p w14:paraId="3E5B07F5">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磋商小组推荐成交候选供应商的数量：3 家及以上</w:t>
            </w:r>
          </w:p>
          <w:p w14:paraId="1030392C">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注：法律、法规另有规定的，从其规定</w:t>
            </w:r>
          </w:p>
        </w:tc>
      </w:tr>
      <w:tr w14:paraId="4E9241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7" w:hRule="atLeast"/>
          <w:jc w:val="center"/>
        </w:trPr>
        <w:tc>
          <w:tcPr>
            <w:tcW w:w="1371" w:type="dxa"/>
            <w:vMerge w:val="continue"/>
            <w:tcBorders>
              <w:left w:val="single" w:color="auto" w:sz="12" w:space="0"/>
              <w:bottom w:val="single" w:color="auto" w:sz="6" w:space="0"/>
            </w:tcBorders>
            <w:vAlign w:val="center"/>
          </w:tcPr>
          <w:p w14:paraId="7AD7D783">
            <w:pPr>
              <w:adjustRightInd w:val="0"/>
              <w:snapToGrid w:val="0"/>
              <w:spacing w:line="360" w:lineRule="auto"/>
              <w:jc w:val="center"/>
              <w:rPr>
                <w:rFonts w:hint="eastAsia" w:ascii="宋体" w:hAnsi="宋体"/>
                <w:color w:val="auto"/>
                <w:szCs w:val="21"/>
                <w:highlight w:val="none"/>
              </w:rPr>
            </w:pPr>
          </w:p>
        </w:tc>
        <w:tc>
          <w:tcPr>
            <w:tcW w:w="1724" w:type="dxa"/>
            <w:vMerge w:val="continue"/>
            <w:tcBorders>
              <w:bottom w:val="single" w:color="auto" w:sz="6" w:space="0"/>
            </w:tcBorders>
            <w:vAlign w:val="center"/>
          </w:tcPr>
          <w:p w14:paraId="0C114F68">
            <w:pPr>
              <w:adjustRightInd w:val="0"/>
              <w:snapToGrid w:val="0"/>
              <w:spacing w:line="360" w:lineRule="auto"/>
              <w:jc w:val="center"/>
              <w:rPr>
                <w:rFonts w:hint="eastAsia" w:ascii="黑体" w:hAnsi="黑体" w:eastAsia="黑体"/>
                <w:color w:val="auto"/>
                <w:szCs w:val="21"/>
                <w:highlight w:val="none"/>
              </w:rPr>
            </w:pPr>
          </w:p>
        </w:tc>
        <w:tc>
          <w:tcPr>
            <w:tcW w:w="6489" w:type="dxa"/>
            <w:tcBorders>
              <w:top w:val="single" w:color="auto" w:sz="6" w:space="0"/>
              <w:bottom w:val="single" w:color="auto" w:sz="6" w:space="0"/>
              <w:right w:val="single" w:color="auto" w:sz="12" w:space="0"/>
            </w:tcBorders>
            <w:vAlign w:val="center"/>
          </w:tcPr>
          <w:p w14:paraId="2CEED1A7">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确定成交供应商：</w:t>
            </w:r>
          </w:p>
          <w:p w14:paraId="0B5C4AED">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 ☑采购人委托磋商小组确定 □采购人确定</w:t>
            </w:r>
          </w:p>
        </w:tc>
      </w:tr>
      <w:tr w14:paraId="0CA574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8" w:hRule="atLeast"/>
          <w:jc w:val="center"/>
        </w:trPr>
        <w:tc>
          <w:tcPr>
            <w:tcW w:w="1371" w:type="dxa"/>
            <w:tcBorders>
              <w:top w:val="single" w:color="auto" w:sz="6" w:space="0"/>
              <w:left w:val="single" w:color="auto" w:sz="12" w:space="0"/>
              <w:bottom w:val="single" w:color="auto" w:sz="6" w:space="0"/>
            </w:tcBorders>
            <w:vAlign w:val="center"/>
          </w:tcPr>
          <w:p w14:paraId="4BE53D24">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23.1</w:t>
            </w:r>
          </w:p>
        </w:tc>
        <w:tc>
          <w:tcPr>
            <w:tcW w:w="1724" w:type="dxa"/>
            <w:tcBorders>
              <w:top w:val="single" w:color="auto" w:sz="6" w:space="0"/>
              <w:bottom w:val="single" w:color="auto" w:sz="6" w:space="0"/>
            </w:tcBorders>
            <w:vAlign w:val="center"/>
          </w:tcPr>
          <w:p w14:paraId="1B7ECF1C">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成交通知书发出</w:t>
            </w:r>
          </w:p>
          <w:p w14:paraId="14000C19">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的形式</w:t>
            </w:r>
          </w:p>
        </w:tc>
        <w:tc>
          <w:tcPr>
            <w:tcW w:w="6489" w:type="dxa"/>
            <w:tcBorders>
              <w:top w:val="single" w:color="auto" w:sz="6" w:space="0"/>
              <w:bottom w:val="single" w:color="auto" w:sz="6" w:space="0"/>
              <w:right w:val="single" w:color="auto" w:sz="12" w:space="0"/>
            </w:tcBorders>
            <w:vAlign w:val="center"/>
          </w:tcPr>
          <w:p w14:paraId="69470E5D">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☑书面  □数据电文</w:t>
            </w:r>
          </w:p>
        </w:tc>
      </w:tr>
      <w:tr w14:paraId="22A02A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4" w:hRule="atLeast"/>
          <w:jc w:val="center"/>
        </w:trPr>
        <w:tc>
          <w:tcPr>
            <w:tcW w:w="1371" w:type="dxa"/>
            <w:tcBorders>
              <w:top w:val="single" w:color="auto" w:sz="6" w:space="0"/>
              <w:left w:val="single" w:color="auto" w:sz="12" w:space="0"/>
              <w:bottom w:val="single" w:color="auto" w:sz="6" w:space="0"/>
            </w:tcBorders>
            <w:vAlign w:val="center"/>
          </w:tcPr>
          <w:p w14:paraId="3CAA9986">
            <w:pPr>
              <w:adjustRightInd w:val="0"/>
              <w:snapToGrid w:val="0"/>
              <w:spacing w:line="360" w:lineRule="auto"/>
              <w:jc w:val="center"/>
              <w:rPr>
                <w:rFonts w:hint="eastAsia" w:ascii="宋体" w:hAnsi="宋体"/>
                <w:color w:val="auto"/>
                <w:szCs w:val="21"/>
                <w:highlight w:val="none"/>
              </w:rPr>
            </w:pPr>
            <w:r>
              <w:rPr>
                <w:rFonts w:hint="eastAsia" w:ascii="宋体" w:hAnsi="宋体"/>
                <w:bCs/>
                <w:color w:val="auto"/>
                <w:highlight w:val="none"/>
              </w:rPr>
              <w:t>25</w:t>
            </w:r>
            <w:r>
              <w:rPr>
                <w:rFonts w:ascii="宋体" w:hAnsi="宋体"/>
                <w:bCs/>
                <w:color w:val="auto"/>
                <w:highlight w:val="none"/>
              </w:rPr>
              <w:t>.1</w:t>
            </w:r>
          </w:p>
        </w:tc>
        <w:tc>
          <w:tcPr>
            <w:tcW w:w="1724" w:type="dxa"/>
            <w:tcBorders>
              <w:top w:val="single" w:color="auto" w:sz="6" w:space="0"/>
              <w:bottom w:val="single" w:color="auto" w:sz="6" w:space="0"/>
            </w:tcBorders>
            <w:vAlign w:val="center"/>
          </w:tcPr>
          <w:p w14:paraId="00754123">
            <w:pPr>
              <w:adjustRightInd w:val="0"/>
              <w:snapToGrid w:val="0"/>
              <w:spacing w:line="360" w:lineRule="auto"/>
              <w:jc w:val="center"/>
              <w:rPr>
                <w:rFonts w:hint="eastAsia" w:ascii="黑体" w:hAnsi="黑体" w:eastAsia="黑体"/>
                <w:color w:val="auto"/>
                <w:szCs w:val="21"/>
                <w:highlight w:val="none"/>
              </w:rPr>
            </w:pPr>
            <w:r>
              <w:rPr>
                <w:rFonts w:hint="eastAsia" w:ascii="黑体" w:hAnsi="黑体" w:eastAsia="黑体"/>
                <w:color w:val="auto"/>
                <w:szCs w:val="21"/>
                <w:highlight w:val="none"/>
              </w:rPr>
              <w:t>履约保证金</w:t>
            </w:r>
          </w:p>
        </w:tc>
        <w:tc>
          <w:tcPr>
            <w:tcW w:w="6489" w:type="dxa"/>
            <w:tcBorders>
              <w:top w:val="single" w:color="auto" w:sz="6" w:space="0"/>
              <w:bottom w:val="single" w:color="auto" w:sz="6" w:space="0"/>
              <w:right w:val="single" w:color="auto" w:sz="12" w:space="0"/>
            </w:tcBorders>
            <w:vAlign w:val="center"/>
          </w:tcPr>
          <w:p w14:paraId="1B3CB935">
            <w:pPr>
              <w:spacing w:line="360" w:lineRule="auto"/>
              <w:rPr>
                <w:rFonts w:hint="eastAsia" w:ascii="宋体" w:hAnsi="宋体"/>
                <w:bCs/>
                <w:color w:val="auto"/>
                <w:kern w:val="0"/>
                <w:szCs w:val="21"/>
                <w:highlight w:val="none"/>
              </w:rPr>
            </w:pPr>
            <w:r>
              <w:rPr>
                <w:rFonts w:hint="eastAsia" w:ascii="宋体" w:hAnsi="宋体"/>
                <w:bCs/>
                <w:color w:val="auto"/>
                <w:kern w:val="0"/>
                <w:szCs w:val="21"/>
                <w:highlight w:val="none"/>
              </w:rPr>
              <w:t>（1）金额：</w:t>
            </w:r>
          </w:p>
          <w:p w14:paraId="657A473F">
            <w:pPr>
              <w:spacing w:line="360" w:lineRule="auto"/>
              <w:rPr>
                <w:rFonts w:hint="eastAsia" w:ascii="宋体" w:hAnsi="宋体"/>
                <w:bCs/>
                <w:color w:val="auto"/>
                <w:kern w:val="0"/>
                <w:szCs w:val="21"/>
                <w:highlight w:val="none"/>
              </w:rPr>
            </w:pPr>
            <w:r>
              <w:rPr>
                <w:rFonts w:ascii="宋体" w:hAnsi="宋体"/>
                <w:bCs/>
                <w:color w:val="auto"/>
                <w:kern w:val="0"/>
                <w:szCs w:val="21"/>
                <w:highlight w:val="none"/>
              </w:rPr>
              <w:sym w:font="Wingdings 2" w:char="0052"/>
            </w:r>
            <w:r>
              <w:rPr>
                <w:rFonts w:hint="eastAsia" w:ascii="宋体" w:hAnsi="宋体"/>
                <w:bCs/>
                <w:color w:val="auto"/>
                <w:kern w:val="0"/>
                <w:szCs w:val="21"/>
                <w:highlight w:val="none"/>
              </w:rPr>
              <w:t>免收</w:t>
            </w:r>
          </w:p>
          <w:p w14:paraId="548A16A5">
            <w:pPr>
              <w:spacing w:line="360" w:lineRule="auto"/>
              <w:rPr>
                <w:rFonts w:hint="eastAsia" w:ascii="宋体" w:hAnsi="宋体"/>
                <w:bCs/>
                <w:color w:val="auto"/>
                <w:kern w:val="0"/>
                <w:szCs w:val="21"/>
                <w:highlight w:val="none"/>
              </w:rPr>
            </w:pPr>
            <w:r>
              <w:rPr>
                <w:rFonts w:hint="eastAsia" w:ascii="宋体" w:hAnsi="宋体"/>
                <w:bCs/>
                <w:color w:val="auto"/>
                <w:kern w:val="0"/>
                <w:szCs w:val="21"/>
                <w:highlight w:val="none"/>
              </w:rPr>
              <w:t>□合同价的</w:t>
            </w:r>
            <w:r>
              <w:rPr>
                <w:rFonts w:hint="eastAsia" w:ascii="宋体" w:hAnsi="宋体"/>
                <w:bCs/>
                <w:color w:val="auto"/>
                <w:kern w:val="0"/>
                <w:szCs w:val="21"/>
                <w:highlight w:val="none"/>
                <w:u w:val="single"/>
              </w:rPr>
              <w:t xml:space="preserve">  /  </w:t>
            </w:r>
            <w:r>
              <w:rPr>
                <w:rFonts w:ascii="宋体" w:hAnsi="宋体"/>
                <w:bCs/>
                <w:color w:val="auto"/>
                <w:kern w:val="0"/>
                <w:szCs w:val="21"/>
                <w:highlight w:val="none"/>
              </w:rPr>
              <w:t>%</w:t>
            </w:r>
          </w:p>
          <w:p w14:paraId="6D9BE564">
            <w:pPr>
              <w:spacing w:line="360" w:lineRule="auto"/>
              <w:rPr>
                <w:rFonts w:hint="eastAsia" w:ascii="宋体" w:hAnsi="宋体"/>
                <w:bCs/>
                <w:color w:val="auto"/>
                <w:kern w:val="0"/>
                <w:szCs w:val="21"/>
                <w:highlight w:val="none"/>
              </w:rPr>
            </w:pPr>
            <w:r>
              <w:rPr>
                <w:rFonts w:ascii="宋体" w:hAnsi="宋体"/>
                <w:bCs/>
                <w:color w:val="auto"/>
                <w:kern w:val="0"/>
                <w:szCs w:val="21"/>
                <w:highlight w:val="none"/>
              </w:rPr>
              <w:t>□</w:t>
            </w:r>
            <w:r>
              <w:rPr>
                <w:rFonts w:hint="eastAsia" w:ascii="宋体" w:hAnsi="宋体"/>
                <w:bCs/>
                <w:color w:val="auto"/>
                <w:kern w:val="0"/>
                <w:szCs w:val="21"/>
                <w:highlight w:val="none"/>
              </w:rPr>
              <w:t>定额收取：人民币</w:t>
            </w:r>
            <w:r>
              <w:rPr>
                <w:rFonts w:hint="eastAsia" w:ascii="宋体" w:hAnsi="宋体"/>
                <w:bCs/>
                <w:color w:val="auto"/>
                <w:kern w:val="0"/>
                <w:szCs w:val="21"/>
                <w:highlight w:val="none"/>
                <w:u w:val="single"/>
              </w:rPr>
              <w:t xml:space="preserve">  /</w:t>
            </w:r>
            <w:r>
              <w:rPr>
                <w:rFonts w:hint="eastAsia" w:ascii="宋体" w:hAnsi="宋体"/>
                <w:bCs/>
                <w:color w:val="auto"/>
                <w:kern w:val="0"/>
                <w:szCs w:val="21"/>
                <w:highlight w:val="none"/>
              </w:rPr>
              <w:t>元</w:t>
            </w:r>
          </w:p>
          <w:p w14:paraId="2C7CFD96">
            <w:pPr>
              <w:spacing w:line="360" w:lineRule="auto"/>
              <w:rPr>
                <w:rFonts w:hint="eastAsia" w:ascii="宋体" w:hAnsi="宋体"/>
                <w:bCs/>
                <w:color w:val="auto"/>
                <w:kern w:val="0"/>
                <w:szCs w:val="21"/>
                <w:highlight w:val="none"/>
              </w:rPr>
            </w:pPr>
            <w:r>
              <w:rPr>
                <w:rFonts w:hint="eastAsia" w:ascii="宋体" w:hAnsi="宋体"/>
                <w:bCs/>
                <w:color w:val="auto"/>
                <w:kern w:val="0"/>
                <w:szCs w:val="21"/>
                <w:highlight w:val="none"/>
              </w:rPr>
              <w:t>（2）支付方式：</w:t>
            </w:r>
          </w:p>
          <w:p w14:paraId="7D4F2184">
            <w:pPr>
              <w:spacing w:line="360" w:lineRule="auto"/>
              <w:rPr>
                <w:rFonts w:hint="eastAsia" w:ascii="宋体" w:hAnsi="宋体"/>
                <w:bCs/>
                <w:color w:val="auto"/>
                <w:kern w:val="0"/>
                <w:szCs w:val="21"/>
                <w:highlight w:val="none"/>
              </w:rPr>
            </w:pPr>
            <w:r>
              <w:rPr>
                <w:rFonts w:hint="eastAsia" w:ascii="宋体" w:hAnsi="宋体"/>
                <w:bCs/>
                <w:color w:val="auto"/>
                <w:kern w:val="0"/>
                <w:szCs w:val="21"/>
                <w:highlight w:val="none"/>
              </w:rPr>
              <w:sym w:font="Wingdings" w:char="00FE"/>
            </w:r>
            <w:r>
              <w:rPr>
                <w:rFonts w:ascii="宋体" w:hAnsi="宋体"/>
                <w:bCs/>
                <w:color w:val="auto"/>
                <w:kern w:val="0"/>
                <w:szCs w:val="21"/>
                <w:highlight w:val="none"/>
              </w:rPr>
              <w:t>转账/电汇</w:t>
            </w:r>
            <w:r>
              <w:rPr>
                <w:rFonts w:hint="eastAsia" w:ascii="宋体" w:hAnsi="宋体"/>
                <w:bCs/>
                <w:color w:val="auto"/>
                <w:kern w:val="0"/>
                <w:szCs w:val="21"/>
                <w:highlight w:val="none"/>
              </w:rPr>
              <w:t xml:space="preserve"> </w:t>
            </w:r>
            <w:r>
              <w:rPr>
                <w:rFonts w:hint="eastAsia" w:ascii="宋体" w:hAnsi="宋体"/>
                <w:bCs/>
                <w:color w:val="auto"/>
                <w:kern w:val="0"/>
                <w:szCs w:val="21"/>
                <w:highlight w:val="none"/>
              </w:rPr>
              <w:sym w:font="Wingdings" w:char="00FE"/>
            </w:r>
            <w:r>
              <w:rPr>
                <w:rFonts w:ascii="宋体" w:hAnsi="宋体"/>
                <w:bCs/>
                <w:color w:val="auto"/>
                <w:kern w:val="0"/>
                <w:szCs w:val="21"/>
                <w:highlight w:val="none"/>
              </w:rPr>
              <w:t xml:space="preserve">支票 </w:t>
            </w:r>
            <w:r>
              <w:rPr>
                <w:rFonts w:hint="eastAsia" w:ascii="宋体" w:hAnsi="宋体"/>
                <w:bCs/>
                <w:color w:val="auto"/>
                <w:kern w:val="0"/>
                <w:szCs w:val="21"/>
                <w:highlight w:val="none"/>
              </w:rPr>
              <w:sym w:font="Wingdings" w:char="00FE"/>
            </w:r>
            <w:r>
              <w:rPr>
                <w:rFonts w:ascii="宋体" w:hAnsi="宋体"/>
                <w:bCs/>
                <w:color w:val="auto"/>
                <w:kern w:val="0"/>
                <w:szCs w:val="21"/>
                <w:highlight w:val="none"/>
              </w:rPr>
              <w:t>汇票</w:t>
            </w:r>
            <w:r>
              <w:rPr>
                <w:rFonts w:hint="eastAsia" w:ascii="宋体" w:hAnsi="宋体"/>
                <w:bCs/>
                <w:color w:val="auto"/>
                <w:kern w:val="0"/>
                <w:szCs w:val="21"/>
                <w:highlight w:val="none"/>
              </w:rPr>
              <w:t xml:space="preserve"> </w:t>
            </w:r>
            <w:r>
              <w:rPr>
                <w:rFonts w:hint="eastAsia" w:ascii="宋体" w:hAnsi="宋体"/>
                <w:bCs/>
                <w:color w:val="auto"/>
                <w:kern w:val="0"/>
                <w:szCs w:val="21"/>
                <w:highlight w:val="none"/>
              </w:rPr>
              <w:sym w:font="Wingdings" w:char="00FE"/>
            </w:r>
            <w:r>
              <w:rPr>
                <w:rFonts w:hint="eastAsia" w:ascii="宋体" w:hAnsi="宋体"/>
                <w:bCs/>
                <w:color w:val="auto"/>
                <w:kern w:val="0"/>
                <w:szCs w:val="21"/>
                <w:highlight w:val="none"/>
              </w:rPr>
              <w:t xml:space="preserve">本票 </w:t>
            </w:r>
            <w:r>
              <w:rPr>
                <w:rFonts w:hint="eastAsia" w:ascii="宋体" w:hAnsi="宋体"/>
                <w:bCs/>
                <w:color w:val="auto"/>
                <w:kern w:val="0"/>
                <w:szCs w:val="21"/>
                <w:highlight w:val="none"/>
              </w:rPr>
              <w:sym w:font="Wingdings" w:char="00FE"/>
            </w:r>
            <w:r>
              <w:rPr>
                <w:rFonts w:ascii="宋体" w:hAnsi="宋体"/>
                <w:bCs/>
                <w:color w:val="auto"/>
                <w:kern w:val="0"/>
                <w:szCs w:val="21"/>
                <w:highlight w:val="none"/>
              </w:rPr>
              <w:t>保</w:t>
            </w:r>
            <w:r>
              <w:rPr>
                <w:rFonts w:hint="eastAsia" w:ascii="宋体" w:hAnsi="宋体"/>
                <w:bCs/>
                <w:color w:val="auto"/>
                <w:kern w:val="0"/>
                <w:szCs w:val="21"/>
                <w:highlight w:val="none"/>
              </w:rPr>
              <w:t xml:space="preserve">险 </w:t>
            </w:r>
            <w:r>
              <w:rPr>
                <w:rFonts w:hint="eastAsia" w:ascii="宋体" w:hAnsi="宋体"/>
                <w:bCs/>
                <w:color w:val="auto"/>
                <w:kern w:val="0"/>
                <w:szCs w:val="21"/>
                <w:highlight w:val="none"/>
              </w:rPr>
              <w:sym w:font="Wingdings" w:char="00FE"/>
            </w:r>
            <w:r>
              <w:rPr>
                <w:rFonts w:hint="eastAsia" w:ascii="宋体" w:hAnsi="宋体"/>
                <w:bCs/>
                <w:color w:val="auto"/>
                <w:kern w:val="0"/>
                <w:szCs w:val="21"/>
                <w:highlight w:val="none"/>
              </w:rPr>
              <w:t>保</w:t>
            </w:r>
            <w:r>
              <w:rPr>
                <w:rFonts w:ascii="宋体" w:hAnsi="宋体"/>
                <w:bCs/>
                <w:color w:val="auto"/>
                <w:kern w:val="0"/>
                <w:szCs w:val="21"/>
                <w:highlight w:val="none"/>
              </w:rPr>
              <w:t>函</w:t>
            </w:r>
          </w:p>
          <w:p w14:paraId="690B8C98">
            <w:pPr>
              <w:spacing w:line="360" w:lineRule="auto"/>
              <w:rPr>
                <w:rFonts w:hint="eastAsia" w:ascii="宋体" w:hAnsi="宋体"/>
                <w:bCs/>
                <w:color w:val="auto"/>
                <w:kern w:val="0"/>
                <w:szCs w:val="21"/>
                <w:highlight w:val="none"/>
              </w:rPr>
            </w:pPr>
            <w:r>
              <w:rPr>
                <w:rFonts w:hint="eastAsia" w:ascii="宋体" w:hAnsi="宋体"/>
                <w:bCs/>
                <w:color w:val="auto"/>
                <w:kern w:val="0"/>
                <w:szCs w:val="21"/>
                <w:highlight w:val="none"/>
              </w:rPr>
              <w:t>（3）收取单位：</w:t>
            </w:r>
            <w:r>
              <w:rPr>
                <w:rFonts w:hint="eastAsia" w:ascii="宋体" w:hAnsi="宋体"/>
                <w:bCs/>
                <w:color w:val="auto"/>
                <w:kern w:val="0"/>
                <w:szCs w:val="21"/>
                <w:highlight w:val="none"/>
                <w:u w:val="single"/>
              </w:rPr>
              <w:t xml:space="preserve"> /   </w:t>
            </w:r>
            <w:r>
              <w:rPr>
                <w:rFonts w:hint="eastAsia" w:ascii="宋体" w:hAnsi="宋体"/>
                <w:bCs/>
                <w:color w:val="auto"/>
                <w:kern w:val="0"/>
                <w:szCs w:val="21"/>
                <w:highlight w:val="none"/>
              </w:rPr>
              <w:t xml:space="preserve">              </w:t>
            </w:r>
          </w:p>
          <w:p w14:paraId="5783FD7C">
            <w:pPr>
              <w:spacing w:line="360" w:lineRule="auto"/>
              <w:rPr>
                <w:rFonts w:hint="eastAsia" w:ascii="宋体" w:hAnsi="宋体"/>
                <w:bCs/>
                <w:color w:val="auto"/>
                <w:kern w:val="0"/>
                <w:szCs w:val="21"/>
                <w:highlight w:val="none"/>
              </w:rPr>
            </w:pPr>
            <w:r>
              <w:rPr>
                <w:rFonts w:hint="eastAsia" w:ascii="宋体" w:hAnsi="宋体"/>
                <w:bCs/>
                <w:color w:val="auto"/>
                <w:kern w:val="0"/>
                <w:szCs w:val="21"/>
                <w:highlight w:val="none"/>
              </w:rPr>
              <w:t>（4）收取账号：</w:t>
            </w:r>
            <w:r>
              <w:rPr>
                <w:rFonts w:hint="eastAsia" w:ascii="宋体" w:hAnsi="宋体"/>
                <w:bCs/>
                <w:color w:val="auto"/>
                <w:kern w:val="0"/>
                <w:szCs w:val="21"/>
                <w:highlight w:val="none"/>
                <w:u w:val="single"/>
              </w:rPr>
              <w:t xml:space="preserve">    /          </w:t>
            </w:r>
          </w:p>
          <w:p w14:paraId="12B8510A">
            <w:pPr>
              <w:spacing w:line="360" w:lineRule="auto"/>
              <w:rPr>
                <w:rFonts w:hint="eastAsia" w:ascii="宋体" w:hAnsi="宋体"/>
                <w:color w:val="auto"/>
                <w:szCs w:val="21"/>
                <w:highlight w:val="none"/>
              </w:rPr>
            </w:pPr>
            <w:r>
              <w:rPr>
                <w:rFonts w:hint="eastAsia" w:ascii="宋体" w:hAnsi="宋体"/>
                <w:bCs/>
                <w:color w:val="auto"/>
                <w:kern w:val="0"/>
                <w:szCs w:val="21"/>
                <w:highlight w:val="none"/>
              </w:rPr>
              <w:t>（5）</w:t>
            </w:r>
            <w:r>
              <w:rPr>
                <w:rFonts w:hint="eastAsia" w:ascii="宋体" w:hAnsi="宋体"/>
                <w:color w:val="auto"/>
                <w:szCs w:val="21"/>
                <w:highlight w:val="none"/>
              </w:rPr>
              <w:t>退还时间：</w:t>
            </w:r>
            <w:r>
              <w:rPr>
                <w:rFonts w:hint="eastAsia" w:ascii="宋体" w:hAnsi="宋体"/>
                <w:bCs/>
                <w:color w:val="auto"/>
                <w:kern w:val="0"/>
                <w:szCs w:val="21"/>
                <w:highlight w:val="none"/>
                <w:u w:val="single"/>
              </w:rPr>
              <w:t xml:space="preserve">     /    </w:t>
            </w:r>
          </w:p>
          <w:p w14:paraId="13EAEE52">
            <w:pPr>
              <w:spacing w:line="360" w:lineRule="auto"/>
              <w:rPr>
                <w:rFonts w:hint="eastAsia" w:ascii="宋体" w:hAnsi="宋体"/>
                <w:b/>
                <w:bCs/>
                <w:color w:val="auto"/>
                <w:kern w:val="0"/>
                <w:szCs w:val="21"/>
                <w:highlight w:val="none"/>
              </w:rPr>
            </w:pPr>
            <w:r>
              <w:rPr>
                <w:rFonts w:hint="eastAsia" w:ascii="宋体" w:hAnsi="宋体"/>
                <w:b/>
                <w:bCs/>
                <w:color w:val="auto"/>
                <w:kern w:val="0"/>
                <w:szCs w:val="21"/>
                <w:highlight w:val="none"/>
              </w:rPr>
              <w:t>注意事项：</w:t>
            </w:r>
          </w:p>
          <w:p w14:paraId="52AF7A0A">
            <w:pPr>
              <w:spacing w:line="360" w:lineRule="auto"/>
              <w:rPr>
                <w:rFonts w:hint="eastAsia" w:ascii="宋体" w:hAnsi="宋体"/>
                <w:b/>
                <w:bCs/>
                <w:color w:val="auto"/>
                <w:kern w:val="0"/>
                <w:szCs w:val="21"/>
                <w:highlight w:val="none"/>
              </w:rPr>
            </w:pPr>
            <w:r>
              <w:rPr>
                <w:rFonts w:hint="eastAsia" w:ascii="宋体" w:hAnsi="宋体"/>
                <w:b/>
                <w:bCs/>
                <w:color w:val="auto"/>
                <w:kern w:val="0"/>
                <w:szCs w:val="21"/>
                <w:highlight w:val="none"/>
              </w:rPr>
              <w:t>（1）以上各类机构出具的以担保函、保证保险承担责任的方式均须满足无条件见索即付条件。</w:t>
            </w:r>
          </w:p>
          <w:p w14:paraId="6D52BA47">
            <w:pPr>
              <w:adjustRightInd w:val="0"/>
              <w:snapToGrid w:val="0"/>
              <w:spacing w:line="360" w:lineRule="auto"/>
              <w:jc w:val="left"/>
              <w:rPr>
                <w:rFonts w:hint="eastAsia" w:ascii="黑体" w:hAnsi="黑体" w:eastAsia="黑体"/>
                <w:color w:val="auto"/>
                <w:szCs w:val="21"/>
                <w:highlight w:val="none"/>
              </w:rPr>
            </w:pPr>
            <w:r>
              <w:rPr>
                <w:rFonts w:hint="eastAsia" w:ascii="宋体" w:hAnsi="宋体"/>
                <w:color w:val="auto"/>
                <w:szCs w:val="21"/>
                <w:highlight w:val="none"/>
              </w:rPr>
              <w:t>（2）以担保函、保证保险形式缴纳履约保证金的，受益人和收取单位须为采购人。</w:t>
            </w:r>
          </w:p>
        </w:tc>
      </w:tr>
      <w:tr w14:paraId="66C3C0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4" w:hRule="atLeast"/>
          <w:jc w:val="center"/>
        </w:trPr>
        <w:tc>
          <w:tcPr>
            <w:tcW w:w="1371" w:type="dxa"/>
            <w:tcBorders>
              <w:top w:val="single" w:color="auto" w:sz="6" w:space="0"/>
              <w:left w:val="single" w:color="auto" w:sz="12" w:space="0"/>
              <w:bottom w:val="single" w:color="auto" w:sz="6" w:space="0"/>
            </w:tcBorders>
            <w:vAlign w:val="center"/>
          </w:tcPr>
          <w:p w14:paraId="50232797">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26.1</w:t>
            </w:r>
          </w:p>
        </w:tc>
        <w:tc>
          <w:tcPr>
            <w:tcW w:w="1724" w:type="dxa"/>
            <w:tcBorders>
              <w:top w:val="single" w:color="auto" w:sz="6" w:space="0"/>
              <w:bottom w:val="single" w:color="auto" w:sz="6" w:space="0"/>
            </w:tcBorders>
            <w:vAlign w:val="center"/>
          </w:tcPr>
          <w:p w14:paraId="6C293266">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代理费用</w:t>
            </w:r>
          </w:p>
        </w:tc>
        <w:tc>
          <w:tcPr>
            <w:tcW w:w="6489" w:type="dxa"/>
            <w:tcBorders>
              <w:top w:val="single" w:color="auto" w:sz="6" w:space="0"/>
              <w:bottom w:val="single" w:color="auto" w:sz="6" w:space="0"/>
              <w:right w:val="single" w:color="auto" w:sz="12" w:space="0"/>
            </w:tcBorders>
            <w:vAlign w:val="center"/>
          </w:tcPr>
          <w:p w14:paraId="4FD1E2CA">
            <w:pPr>
              <w:spacing w:before="39" w:line="360" w:lineRule="auto"/>
              <w:rPr>
                <w:rFonts w:hint="eastAsia" w:ascii="宋体" w:hAnsi="宋体" w:cs="宋体"/>
                <w:color w:val="auto"/>
                <w:szCs w:val="21"/>
                <w:highlight w:val="none"/>
              </w:rPr>
            </w:pPr>
            <w:r>
              <w:rPr>
                <w:rFonts w:hint="eastAsia" w:ascii="宋体" w:hAnsi="宋体"/>
                <w:bCs/>
                <w:color w:val="auto"/>
                <w:kern w:val="0"/>
                <w:szCs w:val="21"/>
                <w:highlight w:val="none"/>
              </w:rPr>
              <w:t>（1）</w:t>
            </w:r>
            <w:r>
              <w:rPr>
                <w:rFonts w:ascii="宋体" w:hAnsi="宋体"/>
                <w:bCs/>
                <w:color w:val="auto"/>
                <w:kern w:val="0"/>
                <w:szCs w:val="21"/>
                <w:highlight w:val="none"/>
              </w:rPr>
              <w:t>收费对象</w:t>
            </w:r>
            <w:r>
              <w:rPr>
                <w:rFonts w:ascii="宋体" w:hAnsi="宋体" w:cs="宋体"/>
                <w:color w:val="auto"/>
                <w:spacing w:val="-12"/>
                <w:szCs w:val="21"/>
                <w:highlight w:val="none"/>
              </w:rPr>
              <w:t>：</w:t>
            </w:r>
            <w:r>
              <w:rPr>
                <w:rFonts w:hint="eastAsia" w:ascii="宋体" w:hAnsi="宋体"/>
                <w:bCs/>
                <w:color w:val="auto"/>
                <w:kern w:val="0"/>
                <w:szCs w:val="21"/>
                <w:highlight w:val="none"/>
              </w:rPr>
              <w:sym w:font="Wingdings" w:char="00FE"/>
            </w:r>
            <w:r>
              <w:rPr>
                <w:rFonts w:ascii="宋体" w:hAnsi="宋体" w:cs="宋体"/>
                <w:color w:val="auto"/>
                <w:spacing w:val="14"/>
                <w:szCs w:val="21"/>
                <w:highlight w:val="none"/>
              </w:rPr>
              <w:t>采购人</w:t>
            </w:r>
            <w:r>
              <w:rPr>
                <w:rFonts w:hint="eastAsia" w:ascii="宋体" w:hAnsi="宋体" w:cs="宋体"/>
                <w:color w:val="auto"/>
                <w:spacing w:val="14"/>
                <w:szCs w:val="21"/>
                <w:highlight w:val="none"/>
              </w:rPr>
              <w:t xml:space="preserve">   </w:t>
            </w:r>
            <w:r>
              <w:rPr>
                <w:rFonts w:hint="eastAsia" w:ascii="宋体" w:hAnsi="宋体"/>
                <w:bCs/>
                <w:color w:val="auto"/>
                <w:kern w:val="0"/>
                <w:szCs w:val="21"/>
                <w:highlight w:val="none"/>
              </w:rPr>
              <w:sym w:font="Wingdings" w:char="00A8"/>
            </w:r>
            <w:r>
              <w:rPr>
                <w:rFonts w:hint="eastAsia" w:ascii="宋体" w:hAnsi="宋体" w:cs="宋体"/>
                <w:color w:val="auto"/>
                <w:spacing w:val="14"/>
                <w:szCs w:val="21"/>
                <w:highlight w:val="none"/>
              </w:rPr>
              <w:t>成交供应商</w:t>
            </w:r>
          </w:p>
          <w:p w14:paraId="7F0B1BB2">
            <w:pPr>
              <w:spacing w:before="24" w:line="360" w:lineRule="auto"/>
              <w:rPr>
                <w:rFonts w:hint="eastAsia" w:ascii="宋体" w:hAnsi="宋体"/>
                <w:bCs/>
                <w:color w:val="auto"/>
                <w:kern w:val="0"/>
                <w:szCs w:val="21"/>
                <w:highlight w:val="none"/>
              </w:rPr>
            </w:pPr>
            <w:r>
              <w:rPr>
                <w:rFonts w:hint="eastAsia" w:ascii="宋体" w:hAnsi="宋体"/>
                <w:bCs/>
                <w:color w:val="auto"/>
                <w:kern w:val="0"/>
                <w:szCs w:val="21"/>
                <w:highlight w:val="none"/>
              </w:rPr>
              <w:t>（2）</w:t>
            </w:r>
            <w:r>
              <w:rPr>
                <w:rFonts w:ascii="宋体" w:hAnsi="宋体"/>
                <w:bCs/>
                <w:color w:val="auto"/>
                <w:kern w:val="0"/>
                <w:szCs w:val="21"/>
                <w:highlight w:val="none"/>
              </w:rPr>
              <w:t>收取方式</w:t>
            </w:r>
            <w:r>
              <w:rPr>
                <w:rFonts w:ascii="宋体" w:hAnsi="宋体" w:cs="宋体"/>
                <w:color w:val="auto"/>
                <w:szCs w:val="21"/>
                <w:highlight w:val="none"/>
              </w:rPr>
              <w:t>：</w:t>
            </w:r>
            <w:r>
              <w:rPr>
                <w:rFonts w:hint="eastAsia" w:ascii="宋体" w:hAnsi="宋体" w:cs="宋体"/>
                <w:color w:val="auto"/>
                <w:szCs w:val="21"/>
                <w:highlight w:val="none"/>
                <w:u w:val="single"/>
              </w:rPr>
              <w:t>转账或电汇</w:t>
            </w:r>
          </w:p>
          <w:p w14:paraId="27CE5776">
            <w:pPr>
              <w:pStyle w:val="222"/>
              <w:widowControl w:val="0"/>
              <w:spacing w:before="0" w:beforeAutospacing="0" w:after="0" w:afterAutospacing="0" w:line="360" w:lineRule="auto"/>
              <w:jc w:val="both"/>
              <w:rPr>
                <w:rFonts w:hint="eastAsia" w:ascii="宋体" w:hAnsi="宋体"/>
                <w:bCs w:val="0"/>
                <w:color w:val="auto"/>
                <w:sz w:val="21"/>
                <w:szCs w:val="21"/>
                <w:highlight w:val="none"/>
              </w:rPr>
            </w:pPr>
            <w:r>
              <w:rPr>
                <w:rFonts w:hint="eastAsia" w:ascii="宋体" w:hAnsi="宋体"/>
                <w:b w:val="0"/>
                <w:bCs w:val="0"/>
                <w:color w:val="auto"/>
                <w:sz w:val="21"/>
                <w:szCs w:val="21"/>
                <w:highlight w:val="none"/>
              </w:rPr>
              <w:t>（3）</w:t>
            </w:r>
            <w:r>
              <w:rPr>
                <w:rFonts w:ascii="宋体" w:hAnsi="宋体" w:cs="@仿宋_GB2312"/>
                <w:b w:val="0"/>
                <w:color w:val="auto"/>
                <w:sz w:val="21"/>
                <w:szCs w:val="21"/>
                <w:highlight w:val="none"/>
              </w:rPr>
              <w:t>收费标准：</w:t>
            </w:r>
            <w:r>
              <w:rPr>
                <w:rFonts w:hint="eastAsia" w:ascii="宋体" w:hAnsi="宋体" w:cs="宋体"/>
                <w:b w:val="0"/>
                <w:bCs w:val="0"/>
                <w:color w:val="auto"/>
                <w:kern w:val="2"/>
                <w:sz w:val="21"/>
                <w:szCs w:val="21"/>
                <w:highlight w:val="none"/>
                <w:u w:val="single"/>
              </w:rPr>
              <w:t>按照</w:t>
            </w:r>
            <w:r>
              <w:rPr>
                <w:rFonts w:hint="eastAsia" w:ascii="宋体" w:hAnsi="宋体" w:cs="宋体"/>
                <w:b w:val="0"/>
                <w:bCs w:val="0"/>
                <w:color w:val="auto"/>
                <w:kern w:val="2"/>
                <w:sz w:val="21"/>
                <w:szCs w:val="21"/>
                <w:highlight w:val="none"/>
                <w:u w:val="single"/>
                <w:lang w:val="en-US" w:eastAsia="zh-CN"/>
              </w:rPr>
              <w:t>9000</w:t>
            </w:r>
            <w:r>
              <w:rPr>
                <w:rFonts w:hint="eastAsia" w:ascii="宋体" w:hAnsi="宋体" w:cs="宋体"/>
                <w:b w:val="0"/>
                <w:bCs w:val="0"/>
                <w:color w:val="auto"/>
                <w:kern w:val="2"/>
                <w:sz w:val="21"/>
                <w:szCs w:val="21"/>
                <w:highlight w:val="none"/>
                <w:u w:val="single"/>
              </w:rPr>
              <w:t>元定额收取</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w:t>
            </w:r>
          </w:p>
        </w:tc>
      </w:tr>
      <w:tr w14:paraId="538982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9" w:hRule="atLeast"/>
          <w:jc w:val="center"/>
        </w:trPr>
        <w:tc>
          <w:tcPr>
            <w:tcW w:w="1371" w:type="dxa"/>
            <w:tcBorders>
              <w:top w:val="single" w:color="auto" w:sz="6" w:space="0"/>
              <w:left w:val="single" w:color="auto" w:sz="12" w:space="0"/>
              <w:bottom w:val="single" w:color="auto" w:sz="6" w:space="0"/>
            </w:tcBorders>
            <w:vAlign w:val="center"/>
          </w:tcPr>
          <w:p w14:paraId="6B283836">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30</w:t>
            </w:r>
          </w:p>
        </w:tc>
        <w:tc>
          <w:tcPr>
            <w:tcW w:w="1724" w:type="dxa"/>
            <w:tcBorders>
              <w:top w:val="single" w:color="auto" w:sz="6" w:space="0"/>
              <w:bottom w:val="single" w:color="auto" w:sz="6" w:space="0"/>
            </w:tcBorders>
            <w:vAlign w:val="center"/>
          </w:tcPr>
          <w:p w14:paraId="4ABF8326">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其他内容</w:t>
            </w:r>
          </w:p>
        </w:tc>
        <w:tc>
          <w:tcPr>
            <w:tcW w:w="6489" w:type="dxa"/>
            <w:tcBorders>
              <w:top w:val="single" w:color="auto" w:sz="6" w:space="0"/>
              <w:bottom w:val="single" w:color="auto" w:sz="6" w:space="0"/>
              <w:right w:val="single" w:color="auto" w:sz="12" w:space="0"/>
            </w:tcBorders>
            <w:vAlign w:val="center"/>
          </w:tcPr>
          <w:p w14:paraId="508BD0E9">
            <w:pPr>
              <w:spacing w:line="360" w:lineRule="auto"/>
              <w:rPr>
                <w:rFonts w:hint="eastAsia" w:ascii="宋体" w:hAnsi="宋体"/>
                <w:bCs/>
                <w:color w:val="auto"/>
                <w:szCs w:val="21"/>
                <w:highlight w:val="none"/>
              </w:rPr>
            </w:pPr>
            <w:r>
              <w:rPr>
                <w:rFonts w:hint="eastAsia" w:ascii="宋体" w:hAnsi="宋体"/>
                <w:bCs/>
                <w:color w:val="auto"/>
                <w:szCs w:val="21"/>
                <w:highlight w:val="none"/>
              </w:rPr>
              <w:t>1.解释权</w:t>
            </w:r>
          </w:p>
          <w:p w14:paraId="329BFFFD">
            <w:pPr>
              <w:spacing w:line="360" w:lineRule="auto"/>
              <w:rPr>
                <w:rFonts w:hint="eastAsia" w:ascii="宋体" w:hAnsi="宋体"/>
                <w:bCs/>
                <w:color w:val="auto"/>
                <w:szCs w:val="21"/>
                <w:highlight w:val="none"/>
              </w:rPr>
            </w:pPr>
            <w:r>
              <w:rPr>
                <w:rFonts w:hint="eastAsia" w:ascii="宋体" w:hAnsi="宋体"/>
                <w:bCs/>
                <w:color w:val="auto"/>
                <w:szCs w:val="21"/>
                <w:highlight w:val="none"/>
              </w:rPr>
              <w:t>（1）</w:t>
            </w:r>
            <w:r>
              <w:rPr>
                <w:rFonts w:ascii="宋体" w:hAnsi="宋体"/>
                <w:bCs/>
                <w:color w:val="auto"/>
                <w:szCs w:val="21"/>
                <w:highlight w:val="none"/>
              </w:rPr>
              <w:t>构成本</w:t>
            </w:r>
            <w:r>
              <w:rPr>
                <w:rFonts w:hint="eastAsia" w:ascii="宋体" w:hAnsi="宋体"/>
                <w:bCs/>
                <w:color w:val="auto"/>
                <w:szCs w:val="21"/>
                <w:highlight w:val="none"/>
              </w:rPr>
              <w:t>磋商</w:t>
            </w:r>
            <w:r>
              <w:rPr>
                <w:rFonts w:ascii="宋体" w:hAnsi="宋体"/>
                <w:bCs/>
                <w:color w:val="auto"/>
                <w:szCs w:val="21"/>
                <w:highlight w:val="none"/>
              </w:rPr>
              <w:t>文件的各个组成文件应互为解释，互为说明；</w:t>
            </w:r>
          </w:p>
          <w:p w14:paraId="552D7C0E">
            <w:pPr>
              <w:spacing w:line="360" w:lineRule="auto"/>
              <w:rPr>
                <w:rFonts w:hint="eastAsia" w:ascii="宋体" w:hAnsi="宋体"/>
                <w:bCs/>
                <w:color w:val="auto"/>
                <w:szCs w:val="21"/>
                <w:highlight w:val="none"/>
              </w:rPr>
            </w:pPr>
            <w:r>
              <w:rPr>
                <w:rFonts w:hint="eastAsia" w:ascii="宋体" w:hAnsi="宋体"/>
                <w:bCs/>
                <w:color w:val="auto"/>
                <w:szCs w:val="21"/>
                <w:highlight w:val="none"/>
              </w:rPr>
              <w:t>（2）</w:t>
            </w:r>
            <w:r>
              <w:rPr>
                <w:rFonts w:ascii="宋体" w:hAnsi="宋体"/>
                <w:bCs/>
                <w:color w:val="auto"/>
                <w:szCs w:val="21"/>
                <w:highlight w:val="none"/>
              </w:rPr>
              <w:t>同一组成文件中就同一事项的规定或约定不一致的，以编排顺序在后者为准；</w:t>
            </w:r>
          </w:p>
          <w:p w14:paraId="4C17DC2E">
            <w:pPr>
              <w:spacing w:line="360" w:lineRule="auto"/>
              <w:rPr>
                <w:rFonts w:hint="eastAsia" w:ascii="宋体" w:hAnsi="宋体"/>
                <w:bCs/>
                <w:color w:val="auto"/>
                <w:szCs w:val="21"/>
                <w:highlight w:val="none"/>
              </w:rPr>
            </w:pPr>
            <w:r>
              <w:rPr>
                <w:rFonts w:hint="eastAsia" w:ascii="宋体" w:hAnsi="宋体"/>
                <w:bCs/>
                <w:color w:val="auto"/>
                <w:szCs w:val="21"/>
                <w:highlight w:val="none"/>
              </w:rPr>
              <w:t>（3）</w:t>
            </w:r>
            <w:r>
              <w:rPr>
                <w:rFonts w:ascii="宋体" w:hAnsi="宋体"/>
                <w:bCs/>
                <w:color w:val="auto"/>
                <w:szCs w:val="21"/>
                <w:highlight w:val="none"/>
              </w:rPr>
              <w:t>如有不明确或不一致，构成合同文件组成内容的，以合同文件约定内容为准，且以专用合同条款约定的合同文件优先顺序解释；</w:t>
            </w:r>
          </w:p>
          <w:p w14:paraId="27E2E948">
            <w:pPr>
              <w:spacing w:line="360" w:lineRule="auto"/>
              <w:rPr>
                <w:rFonts w:hint="eastAsia" w:ascii="宋体" w:hAnsi="宋体"/>
                <w:bCs/>
                <w:color w:val="auto"/>
                <w:szCs w:val="21"/>
                <w:highlight w:val="none"/>
              </w:rPr>
            </w:pPr>
            <w:r>
              <w:rPr>
                <w:rFonts w:hint="eastAsia" w:ascii="宋体" w:hAnsi="宋体"/>
                <w:bCs/>
                <w:color w:val="auto"/>
                <w:szCs w:val="21"/>
                <w:highlight w:val="none"/>
              </w:rPr>
              <w:t>（4）</w:t>
            </w:r>
            <w:r>
              <w:rPr>
                <w:rFonts w:ascii="宋体" w:hAnsi="宋体"/>
                <w:bCs/>
                <w:color w:val="auto"/>
                <w:szCs w:val="21"/>
                <w:highlight w:val="none"/>
              </w:rPr>
              <w:t>除</w:t>
            </w:r>
            <w:r>
              <w:rPr>
                <w:rFonts w:hint="eastAsia" w:ascii="宋体" w:hAnsi="宋体"/>
                <w:bCs/>
                <w:color w:val="auto"/>
                <w:szCs w:val="21"/>
                <w:highlight w:val="none"/>
              </w:rPr>
              <w:t>磋商</w:t>
            </w:r>
            <w:r>
              <w:rPr>
                <w:rFonts w:ascii="宋体" w:hAnsi="宋体"/>
                <w:bCs/>
                <w:color w:val="auto"/>
                <w:szCs w:val="21"/>
                <w:highlight w:val="none"/>
              </w:rPr>
              <w:t>文件中有特别规定外，仅适用于</w:t>
            </w:r>
            <w:r>
              <w:rPr>
                <w:rFonts w:hint="eastAsia" w:ascii="宋体" w:hAnsi="宋体"/>
                <w:bCs/>
                <w:color w:val="auto"/>
                <w:szCs w:val="21"/>
                <w:highlight w:val="none"/>
              </w:rPr>
              <w:t>磋商及响应文件提交</w:t>
            </w:r>
            <w:r>
              <w:rPr>
                <w:rFonts w:ascii="宋体" w:hAnsi="宋体"/>
                <w:bCs/>
                <w:color w:val="auto"/>
                <w:szCs w:val="21"/>
                <w:highlight w:val="none"/>
              </w:rPr>
              <w:t>阶段的规定，按</w:t>
            </w:r>
            <w:r>
              <w:rPr>
                <w:rFonts w:hint="eastAsia" w:ascii="宋体" w:hAnsi="宋体"/>
                <w:bCs/>
                <w:color w:val="auto"/>
                <w:szCs w:val="21"/>
                <w:highlight w:val="none"/>
              </w:rPr>
              <w:t>竞争性磋商</w:t>
            </w:r>
            <w:r>
              <w:rPr>
                <w:rFonts w:ascii="宋体" w:hAnsi="宋体"/>
                <w:bCs/>
                <w:color w:val="auto"/>
                <w:szCs w:val="21"/>
                <w:highlight w:val="none"/>
              </w:rPr>
              <w:t>公告、</w:t>
            </w:r>
            <w:r>
              <w:rPr>
                <w:rFonts w:hint="eastAsia" w:ascii="宋体" w:hAnsi="宋体"/>
                <w:bCs/>
                <w:color w:val="auto"/>
                <w:szCs w:val="21"/>
                <w:highlight w:val="none"/>
              </w:rPr>
              <w:t>磋商邀请、供应商</w:t>
            </w:r>
            <w:r>
              <w:rPr>
                <w:rFonts w:ascii="宋体" w:hAnsi="宋体"/>
                <w:bCs/>
                <w:color w:val="auto"/>
                <w:szCs w:val="21"/>
                <w:highlight w:val="none"/>
              </w:rPr>
              <w:t>须知、评</w:t>
            </w:r>
            <w:r>
              <w:rPr>
                <w:rFonts w:hint="eastAsia" w:ascii="宋体" w:hAnsi="宋体"/>
                <w:bCs/>
                <w:color w:val="auto"/>
                <w:szCs w:val="21"/>
                <w:highlight w:val="none"/>
              </w:rPr>
              <w:t>审方</w:t>
            </w:r>
            <w:r>
              <w:rPr>
                <w:rFonts w:ascii="宋体" w:hAnsi="宋体"/>
                <w:bCs/>
                <w:color w:val="auto"/>
                <w:szCs w:val="21"/>
                <w:highlight w:val="none"/>
              </w:rPr>
              <w:t>法</w:t>
            </w:r>
            <w:r>
              <w:rPr>
                <w:rFonts w:hint="eastAsia" w:ascii="宋体" w:hAnsi="宋体"/>
                <w:bCs/>
                <w:color w:val="auto"/>
                <w:szCs w:val="21"/>
                <w:highlight w:val="none"/>
              </w:rPr>
              <w:t>和标准</w:t>
            </w:r>
            <w:r>
              <w:rPr>
                <w:rFonts w:ascii="宋体" w:hAnsi="宋体"/>
                <w:bCs/>
                <w:color w:val="auto"/>
                <w:szCs w:val="21"/>
                <w:highlight w:val="none"/>
              </w:rPr>
              <w:t>、</w:t>
            </w:r>
            <w:r>
              <w:rPr>
                <w:rFonts w:hint="eastAsia" w:ascii="宋体" w:hAnsi="宋体"/>
                <w:bCs/>
                <w:color w:val="auto"/>
                <w:szCs w:val="21"/>
                <w:highlight w:val="none"/>
              </w:rPr>
              <w:t>响应</w:t>
            </w:r>
            <w:r>
              <w:rPr>
                <w:rFonts w:ascii="宋体" w:hAnsi="宋体"/>
                <w:bCs/>
                <w:color w:val="auto"/>
                <w:szCs w:val="21"/>
                <w:highlight w:val="none"/>
              </w:rPr>
              <w:t>文件格式的先后顺序解释；</w:t>
            </w:r>
          </w:p>
          <w:p w14:paraId="54A47F20">
            <w:pPr>
              <w:spacing w:line="360" w:lineRule="auto"/>
              <w:rPr>
                <w:rFonts w:hint="eastAsia" w:ascii="宋体" w:hAnsi="宋体"/>
                <w:bCs/>
                <w:color w:val="auto"/>
                <w:szCs w:val="21"/>
                <w:highlight w:val="none"/>
              </w:rPr>
            </w:pPr>
            <w:r>
              <w:rPr>
                <w:rFonts w:hint="eastAsia" w:ascii="宋体" w:hAnsi="宋体"/>
                <w:bCs/>
                <w:color w:val="auto"/>
                <w:szCs w:val="21"/>
                <w:highlight w:val="none"/>
              </w:rPr>
              <w:t>（5）</w:t>
            </w:r>
            <w:r>
              <w:rPr>
                <w:rFonts w:ascii="宋体" w:hAnsi="宋体"/>
                <w:bCs/>
                <w:color w:val="auto"/>
                <w:szCs w:val="21"/>
                <w:highlight w:val="none"/>
              </w:rPr>
              <w:t>按本款前述规定仍不能形成结论的，由</w:t>
            </w:r>
            <w:r>
              <w:rPr>
                <w:rFonts w:hint="eastAsia" w:ascii="宋体" w:hAnsi="宋体"/>
                <w:bCs/>
                <w:color w:val="auto"/>
                <w:szCs w:val="21"/>
                <w:highlight w:val="none"/>
              </w:rPr>
              <w:t>采购</w:t>
            </w:r>
            <w:r>
              <w:rPr>
                <w:rFonts w:ascii="宋体" w:hAnsi="宋体"/>
                <w:bCs/>
                <w:color w:val="auto"/>
                <w:szCs w:val="21"/>
                <w:highlight w:val="none"/>
              </w:rPr>
              <w:t>人负责解释。</w:t>
            </w:r>
          </w:p>
          <w:p w14:paraId="2ECB8397">
            <w:pPr>
              <w:spacing w:line="360" w:lineRule="auto"/>
              <w:rPr>
                <w:rFonts w:hint="eastAsia" w:ascii="宋体" w:hAnsi="宋体"/>
                <w:bCs/>
                <w:color w:val="auto"/>
                <w:szCs w:val="21"/>
                <w:highlight w:val="none"/>
              </w:rPr>
            </w:pPr>
            <w:r>
              <w:rPr>
                <w:rFonts w:hint="eastAsia" w:ascii="宋体" w:hAnsi="宋体"/>
                <w:bCs/>
                <w:color w:val="auto"/>
                <w:szCs w:val="21"/>
                <w:highlight w:val="none"/>
              </w:rPr>
              <w:t>2.“政采贷”融资指引：有融资需求的</w:t>
            </w:r>
            <w:r>
              <w:rPr>
                <w:rFonts w:hint="eastAsia" w:ascii="宋体" w:hAnsi="宋体" w:cs="宋体"/>
                <w:color w:val="auto"/>
                <w:szCs w:val="21"/>
                <w:highlight w:val="none"/>
              </w:rPr>
              <w:t>供应商</w:t>
            </w:r>
            <w:r>
              <w:rPr>
                <w:rFonts w:hint="eastAsia" w:ascii="宋体" w:hAnsi="宋体"/>
                <w:bCs/>
                <w:color w:val="auto"/>
                <w:szCs w:val="21"/>
                <w:highlight w:val="none"/>
              </w:rPr>
              <w:t>在取得政府采购中标或成交通知书后，可访问安徽省政府采购网“政采贷”栏目，查看和联系第三方平台或者金融机构，商洽融资事项，确定融资意向。</w:t>
            </w:r>
          </w:p>
          <w:p w14:paraId="256FCCB6">
            <w:pPr>
              <w:spacing w:line="360" w:lineRule="auto"/>
              <w:rPr>
                <w:rFonts w:hint="eastAsia" w:ascii="宋体" w:hAnsi="宋体"/>
                <w:color w:val="auto"/>
                <w:kern w:val="0"/>
                <w:szCs w:val="21"/>
                <w:highlight w:val="none"/>
              </w:rPr>
            </w:pPr>
            <w:r>
              <w:rPr>
                <w:rFonts w:hint="eastAsia" w:ascii="宋体" w:hAnsi="宋体" w:cs="@仿宋_GB2312"/>
                <w:bCs/>
                <w:color w:val="auto"/>
                <w:szCs w:val="21"/>
                <w:highlight w:val="none"/>
              </w:rPr>
              <w:t>3.电子保函指引：成交供应商可访问安徽省政府采购网“融资/保函”栏目，申请办理电子保函（包括：履约保函、预付款保函）。</w:t>
            </w:r>
          </w:p>
        </w:tc>
      </w:tr>
      <w:tr w14:paraId="3FE0C5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11" w:hRule="atLeast"/>
          <w:jc w:val="center"/>
        </w:trPr>
        <w:tc>
          <w:tcPr>
            <w:tcW w:w="1371" w:type="dxa"/>
            <w:vMerge w:val="restart"/>
            <w:tcBorders>
              <w:top w:val="single" w:color="auto" w:sz="6" w:space="0"/>
              <w:left w:val="single" w:color="auto" w:sz="12" w:space="0"/>
              <w:bottom w:val="single" w:color="auto" w:sz="4" w:space="0"/>
              <w:right w:val="single" w:color="auto" w:sz="4" w:space="0"/>
            </w:tcBorders>
            <w:vAlign w:val="center"/>
          </w:tcPr>
          <w:p w14:paraId="0D1B1543">
            <w:pPr>
              <w:adjustRightInd w:val="0"/>
              <w:snapToGrid w:val="0"/>
              <w:spacing w:line="360" w:lineRule="auto"/>
              <w:jc w:val="center"/>
              <w:rPr>
                <w:rFonts w:hint="eastAsia" w:ascii="宋体" w:hAnsi="宋体"/>
                <w:color w:val="auto"/>
                <w:szCs w:val="21"/>
                <w:highlight w:val="none"/>
              </w:rPr>
            </w:pPr>
          </w:p>
          <w:p w14:paraId="51A38E34">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34.1</w:t>
            </w:r>
          </w:p>
        </w:tc>
        <w:tc>
          <w:tcPr>
            <w:tcW w:w="1724" w:type="dxa"/>
            <w:vMerge w:val="restart"/>
            <w:tcBorders>
              <w:top w:val="single" w:color="auto" w:sz="6" w:space="0"/>
              <w:left w:val="single" w:color="auto" w:sz="4" w:space="0"/>
              <w:bottom w:val="single" w:color="auto" w:sz="4" w:space="0"/>
            </w:tcBorders>
            <w:vAlign w:val="center"/>
          </w:tcPr>
          <w:p w14:paraId="3859513F">
            <w:pPr>
              <w:adjustRightInd w:val="0"/>
              <w:snapToGrid w:val="0"/>
              <w:spacing w:line="360" w:lineRule="auto"/>
              <w:jc w:val="center"/>
              <w:rPr>
                <w:rFonts w:hint="eastAsia" w:ascii="黑体" w:hAnsi="黑体" w:eastAsia="黑体"/>
                <w:color w:val="auto"/>
                <w:szCs w:val="21"/>
                <w:highlight w:val="none"/>
              </w:rPr>
            </w:pPr>
            <w:r>
              <w:rPr>
                <w:rFonts w:hint="eastAsia" w:ascii="宋体" w:hAnsi="宋体"/>
                <w:color w:val="auto"/>
                <w:szCs w:val="21"/>
                <w:highlight w:val="none"/>
              </w:rPr>
              <w:t>询问和质疑</w:t>
            </w:r>
          </w:p>
        </w:tc>
        <w:tc>
          <w:tcPr>
            <w:tcW w:w="6489" w:type="dxa"/>
            <w:tcBorders>
              <w:top w:val="single" w:color="auto" w:sz="6" w:space="0"/>
              <w:bottom w:val="single" w:color="auto" w:sz="4" w:space="0"/>
              <w:right w:val="single" w:color="auto" w:sz="12" w:space="0"/>
            </w:tcBorders>
            <w:vAlign w:val="center"/>
          </w:tcPr>
          <w:p w14:paraId="3BB095C5">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供应商对本次采购活动事项有疑问的，可以向采购人和采购代理机构提出询问。</w:t>
            </w:r>
          </w:p>
          <w:p w14:paraId="3A547C3C">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对供应商依法提出的询问，采购人或者采购代理机构将在3个工作日内作出答复。</w:t>
            </w:r>
          </w:p>
        </w:tc>
      </w:tr>
      <w:tr w14:paraId="676BAC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11" w:hRule="atLeast"/>
          <w:jc w:val="center"/>
        </w:trPr>
        <w:tc>
          <w:tcPr>
            <w:tcW w:w="1371" w:type="dxa"/>
            <w:vMerge w:val="continue"/>
            <w:tcBorders>
              <w:top w:val="single" w:color="auto" w:sz="6" w:space="0"/>
              <w:left w:val="single" w:color="auto" w:sz="12" w:space="0"/>
              <w:bottom w:val="single" w:color="auto" w:sz="4" w:space="0"/>
              <w:right w:val="single" w:color="auto" w:sz="4" w:space="0"/>
            </w:tcBorders>
            <w:vAlign w:val="center"/>
          </w:tcPr>
          <w:p w14:paraId="593135B1">
            <w:pPr>
              <w:adjustRightInd w:val="0"/>
              <w:snapToGrid w:val="0"/>
              <w:spacing w:line="360" w:lineRule="auto"/>
              <w:jc w:val="center"/>
              <w:rPr>
                <w:rFonts w:hint="eastAsia" w:ascii="宋体" w:hAnsi="宋体"/>
                <w:color w:val="auto"/>
                <w:szCs w:val="21"/>
                <w:highlight w:val="none"/>
              </w:rPr>
            </w:pPr>
          </w:p>
        </w:tc>
        <w:tc>
          <w:tcPr>
            <w:tcW w:w="1724" w:type="dxa"/>
            <w:vMerge w:val="continue"/>
            <w:tcBorders>
              <w:top w:val="single" w:color="auto" w:sz="6" w:space="0"/>
              <w:left w:val="single" w:color="auto" w:sz="4" w:space="0"/>
              <w:bottom w:val="single" w:color="auto" w:sz="4" w:space="0"/>
            </w:tcBorders>
            <w:vAlign w:val="center"/>
          </w:tcPr>
          <w:p w14:paraId="4C132193">
            <w:pPr>
              <w:adjustRightInd w:val="0"/>
              <w:snapToGrid w:val="0"/>
              <w:spacing w:line="360" w:lineRule="auto"/>
              <w:jc w:val="center"/>
              <w:rPr>
                <w:rFonts w:hint="eastAsia" w:ascii="黑体" w:hAnsi="黑体" w:eastAsia="黑体"/>
                <w:color w:val="auto"/>
                <w:szCs w:val="21"/>
                <w:highlight w:val="none"/>
              </w:rPr>
            </w:pPr>
          </w:p>
        </w:tc>
        <w:tc>
          <w:tcPr>
            <w:tcW w:w="6489" w:type="dxa"/>
            <w:tcBorders>
              <w:top w:val="single" w:color="auto" w:sz="6" w:space="0"/>
              <w:bottom w:val="single" w:color="auto" w:sz="4" w:space="0"/>
              <w:right w:val="single" w:color="auto" w:sz="12" w:space="0"/>
            </w:tcBorders>
            <w:vAlign w:val="center"/>
          </w:tcPr>
          <w:p w14:paraId="6CFCC53A">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供应商认为磋商文件、采购过程和成交结果使自己的权益受到损害的，可以在知道或者应知其权益受到损害之日起3个工作日内，以书面形式向采购人和代理机构提出质疑，逾期不予受理。</w:t>
            </w:r>
          </w:p>
          <w:p w14:paraId="5F0FB6E3">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答疑一般于质疑书提交后3个工作日内回复。</w:t>
            </w:r>
          </w:p>
        </w:tc>
      </w:tr>
      <w:tr w14:paraId="7ACD95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11" w:hRule="atLeast"/>
          <w:jc w:val="center"/>
        </w:trPr>
        <w:tc>
          <w:tcPr>
            <w:tcW w:w="1371" w:type="dxa"/>
            <w:tcBorders>
              <w:top w:val="single" w:color="auto" w:sz="6" w:space="0"/>
              <w:left w:val="single" w:color="auto" w:sz="12" w:space="0"/>
              <w:bottom w:val="single" w:color="auto" w:sz="4" w:space="0"/>
              <w:right w:val="single" w:color="auto" w:sz="4" w:space="0"/>
            </w:tcBorders>
            <w:vAlign w:val="center"/>
          </w:tcPr>
          <w:p w14:paraId="2F5CBC17">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36.1</w:t>
            </w:r>
          </w:p>
        </w:tc>
        <w:tc>
          <w:tcPr>
            <w:tcW w:w="1724" w:type="dxa"/>
            <w:tcBorders>
              <w:top w:val="single" w:color="auto" w:sz="6" w:space="0"/>
              <w:left w:val="single" w:color="auto" w:sz="4" w:space="0"/>
              <w:bottom w:val="single" w:color="auto" w:sz="4" w:space="0"/>
            </w:tcBorders>
            <w:vAlign w:val="center"/>
          </w:tcPr>
          <w:p w14:paraId="796A2B44">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社保证明材料</w:t>
            </w:r>
          </w:p>
        </w:tc>
        <w:tc>
          <w:tcPr>
            <w:tcW w:w="6489" w:type="dxa"/>
            <w:tcBorders>
              <w:top w:val="single" w:color="auto" w:sz="6" w:space="0"/>
              <w:bottom w:val="single" w:color="auto" w:sz="4" w:space="0"/>
              <w:right w:val="single" w:color="auto" w:sz="12" w:space="0"/>
            </w:tcBorders>
            <w:vAlign w:val="center"/>
          </w:tcPr>
          <w:p w14:paraId="12186057">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本项目磋商文件中要求提供的社保证明材料为下述</w:t>
            </w:r>
          </w:p>
          <w:p w14:paraId="7D8679C9">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形式之一（响应文件中须提供扫描件）：</w:t>
            </w:r>
          </w:p>
          <w:p w14:paraId="4BA8E906">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（1）社保局官方网站查询的缴费记录截图；</w:t>
            </w:r>
          </w:p>
          <w:p w14:paraId="4A5DD5AA">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（2）其他经磋商小组认可的证明材料。</w:t>
            </w:r>
          </w:p>
          <w:p w14:paraId="2FBE0D9B">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注：社保证明材料至少含养老保险。</w:t>
            </w:r>
          </w:p>
        </w:tc>
      </w:tr>
      <w:tr w14:paraId="2EE1CB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11" w:hRule="atLeast"/>
          <w:jc w:val="center"/>
        </w:trPr>
        <w:tc>
          <w:tcPr>
            <w:tcW w:w="1371" w:type="dxa"/>
            <w:vMerge w:val="restart"/>
            <w:tcBorders>
              <w:top w:val="single" w:color="auto" w:sz="6" w:space="0"/>
              <w:left w:val="single" w:color="auto" w:sz="12" w:space="0"/>
              <w:right w:val="single" w:color="auto" w:sz="4" w:space="0"/>
            </w:tcBorders>
            <w:vAlign w:val="center"/>
          </w:tcPr>
          <w:p w14:paraId="17D1CDFE">
            <w:pPr>
              <w:adjustRightInd w:val="0"/>
              <w:snapToGrid w:val="0"/>
              <w:spacing w:line="360" w:lineRule="auto"/>
              <w:jc w:val="center"/>
              <w:rPr>
                <w:rFonts w:hint="eastAsia" w:ascii="黑体" w:hAnsi="黑体" w:eastAsia="黑体"/>
                <w:color w:val="auto"/>
                <w:szCs w:val="21"/>
                <w:highlight w:val="none"/>
              </w:rPr>
            </w:pPr>
            <w:r>
              <w:rPr>
                <w:rFonts w:hint="eastAsia" w:ascii="宋体" w:hAnsi="宋体"/>
                <w:color w:val="auto"/>
                <w:szCs w:val="21"/>
                <w:highlight w:val="none"/>
              </w:rPr>
              <w:t>特别说明</w:t>
            </w:r>
            <w:r>
              <w:rPr>
                <w:rFonts w:ascii="宋体" w:hAnsi="宋体"/>
                <w:color w:val="auto"/>
                <w:szCs w:val="21"/>
                <w:highlight w:val="none"/>
              </w:rPr>
              <w:t xml:space="preserve"> </w:t>
            </w:r>
          </w:p>
        </w:tc>
        <w:tc>
          <w:tcPr>
            <w:tcW w:w="1724" w:type="dxa"/>
            <w:tcBorders>
              <w:top w:val="single" w:color="auto" w:sz="6" w:space="0"/>
              <w:left w:val="single" w:color="auto" w:sz="4" w:space="0"/>
              <w:bottom w:val="single" w:color="auto" w:sz="4" w:space="0"/>
            </w:tcBorders>
            <w:vAlign w:val="center"/>
          </w:tcPr>
          <w:p w14:paraId="4B9237E1">
            <w:pPr>
              <w:adjustRightInd w:val="0"/>
              <w:snapToGrid w:val="0"/>
              <w:spacing w:line="360" w:lineRule="auto"/>
              <w:jc w:val="center"/>
              <w:rPr>
                <w:rFonts w:hint="eastAsia" w:ascii="黑体" w:hAnsi="黑体" w:eastAsia="黑体"/>
                <w:color w:val="auto"/>
                <w:szCs w:val="21"/>
                <w:highlight w:val="none"/>
              </w:rPr>
            </w:pPr>
            <w:r>
              <w:rPr>
                <w:rFonts w:hint="eastAsia" w:ascii="宋体" w:hAnsi="宋体"/>
                <w:color w:val="auto"/>
                <w:szCs w:val="21"/>
                <w:highlight w:val="none"/>
              </w:rPr>
              <w:t>投诉</w:t>
            </w:r>
          </w:p>
        </w:tc>
        <w:tc>
          <w:tcPr>
            <w:tcW w:w="6489" w:type="dxa"/>
            <w:tcBorders>
              <w:top w:val="single" w:color="auto" w:sz="6" w:space="0"/>
              <w:bottom w:val="single" w:color="auto" w:sz="4" w:space="0"/>
              <w:right w:val="single" w:color="auto" w:sz="12" w:space="0"/>
            </w:tcBorders>
            <w:vAlign w:val="center"/>
          </w:tcPr>
          <w:p w14:paraId="60951E77">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质疑供应商对采购人和采购代理机构的答复不满意或者采购人和采购代理机构未在规定时间内作出答复的，可以在答复期满后15个工作日内向同级政府采购监督管理部门投诉。</w:t>
            </w:r>
          </w:p>
        </w:tc>
      </w:tr>
      <w:tr w14:paraId="655DE2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11" w:hRule="atLeast"/>
          <w:jc w:val="center"/>
        </w:trPr>
        <w:tc>
          <w:tcPr>
            <w:tcW w:w="1371" w:type="dxa"/>
            <w:vMerge w:val="continue"/>
            <w:tcBorders>
              <w:left w:val="single" w:color="auto" w:sz="12" w:space="0"/>
              <w:bottom w:val="single" w:color="auto" w:sz="4" w:space="0"/>
              <w:right w:val="single" w:color="auto" w:sz="4" w:space="0"/>
            </w:tcBorders>
            <w:vAlign w:val="center"/>
          </w:tcPr>
          <w:p w14:paraId="3E194BF7">
            <w:pPr>
              <w:adjustRightInd w:val="0"/>
              <w:snapToGrid w:val="0"/>
              <w:spacing w:line="360" w:lineRule="auto"/>
              <w:jc w:val="center"/>
              <w:rPr>
                <w:rFonts w:hint="eastAsia" w:ascii="黑体" w:hAnsi="黑体" w:eastAsia="黑体"/>
                <w:color w:val="auto"/>
                <w:szCs w:val="21"/>
                <w:highlight w:val="none"/>
              </w:rPr>
            </w:pPr>
          </w:p>
        </w:tc>
        <w:tc>
          <w:tcPr>
            <w:tcW w:w="8213" w:type="dxa"/>
            <w:gridSpan w:val="2"/>
            <w:tcBorders>
              <w:top w:val="single" w:color="auto" w:sz="6" w:space="0"/>
              <w:left w:val="single" w:color="auto" w:sz="12" w:space="0"/>
              <w:bottom w:val="single" w:color="auto" w:sz="4" w:space="0"/>
              <w:right w:val="single" w:color="auto" w:sz="12" w:space="0"/>
            </w:tcBorders>
            <w:vAlign w:val="center"/>
          </w:tcPr>
          <w:p w14:paraId="3CBB669B">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提出质疑和投诉的供应商，应严格按照政府采购供应商质疑函范本和政府采购供应商投诉书范本格式提交质疑函和投诉书。</w:t>
            </w:r>
          </w:p>
          <w:p w14:paraId="1E7C1105">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供应商质疑函和投诉书范本格式请在池州市公共资源交易网（网址：</w:t>
            </w:r>
            <w:r>
              <w:rPr>
                <w:rFonts w:ascii="宋体" w:hAnsi="宋体"/>
                <w:color w:val="auto"/>
                <w:szCs w:val="21"/>
                <w:highlight w:val="none"/>
              </w:rPr>
              <w:t>http://ggj.chizhou.gov.cn/chiztpfront</w:t>
            </w:r>
            <w:r>
              <w:rPr>
                <w:rFonts w:hint="eastAsia" w:ascii="宋体" w:hAnsi="宋体"/>
                <w:color w:val="auto"/>
                <w:szCs w:val="21"/>
                <w:highlight w:val="none"/>
              </w:rPr>
              <w:t>）“办事指南”栏目里下载，不符合范本格式的质疑函和投诉书将不予受理。</w:t>
            </w:r>
          </w:p>
        </w:tc>
      </w:tr>
    </w:tbl>
    <w:p w14:paraId="722872A9">
      <w:pPr>
        <w:pStyle w:val="31"/>
        <w:rPr>
          <w:rFonts w:hint="eastAsia"/>
          <w:color w:val="auto"/>
          <w:highlight w:val="none"/>
        </w:rPr>
        <w:sectPr>
          <w:footerReference r:id="rId7" w:type="default"/>
          <w:pgSz w:w="11906" w:h="16838"/>
          <w:pgMar w:top="1134" w:right="1304" w:bottom="1134" w:left="1247" w:header="851" w:footer="992" w:gutter="0"/>
          <w:pgNumType w:start="1"/>
          <w:cols w:space="720" w:num="1"/>
          <w:docGrid w:linePitch="312" w:charSpace="0"/>
        </w:sectPr>
      </w:pPr>
    </w:p>
    <w:p w14:paraId="136996A7">
      <w:pPr>
        <w:widowControl/>
        <w:jc w:val="left"/>
        <w:rPr>
          <w:rFonts w:hint="eastAsia" w:ascii="宋体" w:hAnsi="宋体" w:cs="宋体"/>
          <w:b/>
          <w:bCs/>
          <w:color w:val="auto"/>
          <w:kern w:val="0"/>
          <w:sz w:val="24"/>
          <w:highlight w:val="none"/>
        </w:rPr>
      </w:pPr>
      <w:bookmarkStart w:id="12" w:name="_Toc25967"/>
      <w:bookmarkStart w:id="13" w:name="OLE_LINK4"/>
      <w:r>
        <w:rPr>
          <w:rFonts w:hint="eastAsia" w:ascii="宋体" w:hAnsi="宋体" w:cs="宋体"/>
          <w:b/>
          <w:bCs/>
          <w:color w:val="auto"/>
          <w:kern w:val="0"/>
          <w:sz w:val="24"/>
          <w:highlight w:val="none"/>
        </w:rPr>
        <w:t>二、供应商须知正文</w:t>
      </w:r>
    </w:p>
    <w:p w14:paraId="76032DF1">
      <w:pPr>
        <w:ind w:firstLine="472" w:firstLineChars="196"/>
        <w:rPr>
          <w:rFonts w:hint="eastAsia" w:ascii="宋体" w:hAnsi="宋体" w:cs="宋体"/>
          <w:b/>
          <w:color w:val="auto"/>
          <w:sz w:val="24"/>
          <w:highlight w:val="none"/>
        </w:rPr>
      </w:pPr>
      <w:r>
        <w:rPr>
          <w:rFonts w:hint="eastAsia" w:ascii="宋体" w:hAnsi="宋体" w:cs="宋体"/>
          <w:b/>
          <w:color w:val="auto"/>
          <w:sz w:val="24"/>
          <w:highlight w:val="none"/>
        </w:rPr>
        <w:t>1.适用范围</w:t>
      </w:r>
    </w:p>
    <w:p w14:paraId="6F3ED649">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 本磋商文件仅适用于本次公开磋商所述的服务项目采购。</w:t>
      </w:r>
    </w:p>
    <w:p w14:paraId="7251D7C2">
      <w:pPr>
        <w:ind w:firstLine="472" w:firstLineChars="196"/>
        <w:rPr>
          <w:rFonts w:hint="eastAsia" w:ascii="宋体" w:hAnsi="宋体" w:cs="宋体"/>
          <w:b/>
          <w:color w:val="auto"/>
          <w:sz w:val="24"/>
          <w:highlight w:val="none"/>
        </w:rPr>
      </w:pPr>
      <w:r>
        <w:rPr>
          <w:rFonts w:hint="eastAsia" w:ascii="宋体" w:hAnsi="宋体" w:cs="宋体"/>
          <w:b/>
          <w:color w:val="auto"/>
          <w:sz w:val="24"/>
          <w:highlight w:val="none"/>
        </w:rPr>
        <w:t>2.定义</w:t>
      </w:r>
    </w:p>
    <w:p w14:paraId="4F4F1B40">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 服务：系指除货物和工程以外的其他政府采购对象，包括咨询、调研、评估、规划、设计、监理、审计、保险、租赁、印刷、维修、物业管理等。</w:t>
      </w:r>
    </w:p>
    <w:p w14:paraId="29644F95">
      <w:pPr>
        <w:ind w:firstLine="472" w:firstLineChars="196"/>
        <w:rPr>
          <w:rFonts w:hint="eastAsia" w:ascii="宋体" w:hAnsi="宋体" w:cs="宋体"/>
          <w:b/>
          <w:color w:val="auto"/>
          <w:sz w:val="24"/>
          <w:highlight w:val="none"/>
        </w:rPr>
      </w:pPr>
      <w:r>
        <w:rPr>
          <w:rFonts w:hint="eastAsia" w:ascii="宋体" w:hAnsi="宋体" w:cs="宋体"/>
          <w:b/>
          <w:color w:val="auto"/>
          <w:sz w:val="24"/>
          <w:highlight w:val="none"/>
        </w:rPr>
        <w:t>3.采购人、采购代理机构及供应商</w:t>
      </w:r>
    </w:p>
    <w:p w14:paraId="23124830">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3.1 采购人：是指依法开展政府采购活动的国家机关、事业单位、团体组织。本项目的采购人见供应商须知前附表。</w:t>
      </w:r>
    </w:p>
    <w:p w14:paraId="382D8729">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 采购代理机构：是指集中采购机构或从事采购代理业务的社会中介机构。本项目的采购代理机构见供应商须知前附表。</w:t>
      </w:r>
    </w:p>
    <w:p w14:paraId="0C7F6543">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 政府采购监督管理部门：各级人民政府指定的有关部门依法履行与政府采购活动有关的监督管理职责。本项目的政府采购监督管理部门见供应商须知前附表。</w:t>
      </w:r>
    </w:p>
    <w:p w14:paraId="086E7E88">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 供应商：是指向采购人提供货物、工程或者服务的法人、非法人组织或者自然人。分支机构不得参加政府采购活动，但银行、保险、石油石化、电力、电信等特殊行业除外。本项目的供应商及其磋商货物须满足以下条件：</w:t>
      </w:r>
    </w:p>
    <w:p w14:paraId="278C6B8F">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3.4.1 在中华人民共和国境内注册，能够独立承担民事责任，有生产或供应能力的本国供应商。</w:t>
      </w:r>
    </w:p>
    <w:p w14:paraId="0E9B7E6A">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3.4.2 具备《中华人民共和国政府采购法》第二十二条关于供应商条件的规定，遵守本项目采购人本级和上级财政部门政府采购的有关规定。</w:t>
      </w:r>
    </w:p>
    <w:p w14:paraId="4E892EAF">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3.4.3 以采购代理机构认可的方式获得了本项目的磋商文件。</w:t>
      </w:r>
    </w:p>
    <w:p w14:paraId="11C916CA">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3.4.4 若供应商须知前附表中写明允许采购进口产品，供应商应保证所投产品可履行合法报通关手续进入中国关境内。</w:t>
      </w:r>
    </w:p>
    <w:p w14:paraId="4E4B546A">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若供应商须知前附表中未写明允许采购进口产品，如供应商所投产品为进口产品，其磋商将被认定为响应无效。</w:t>
      </w:r>
    </w:p>
    <w:p w14:paraId="525F6C32">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3.4.5 若供应商须知前附表中写明专门面向中小企业采购的，如供应商为非中小企业且所投产品为非中小企业产品，其磋商将被认定为响应无效。</w:t>
      </w:r>
    </w:p>
    <w:p w14:paraId="10AFECA4">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3.5 若供应商须知前附表中允许联合体磋商，对联合体规定如下：</w:t>
      </w:r>
    </w:p>
    <w:p w14:paraId="1D8A15AA">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3.5.1 两个以上供应商可以组成一个磋商联合体，以一个供应商的身份磋商。</w:t>
      </w:r>
    </w:p>
    <w:p w14:paraId="7308A93A">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3.5.2 联合体各方均应符合《中华人民共和国政府采购法》第二十二条规定的条件。</w:t>
      </w:r>
    </w:p>
    <w:p w14:paraId="60E24A3E">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3.5.3 采购人根据采购项目对供应商的特殊要求，联合体中至少应当有一方符合相关规定。</w:t>
      </w:r>
    </w:p>
    <w:p w14:paraId="003E7C84">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3.5.4 联合体各方应签订联合体协议，明确约定联合体各方承担的工作和相应的责任，并将联合体协议作为响应文件的一部分提交。</w:t>
      </w:r>
    </w:p>
    <w:p w14:paraId="0D1AC144">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3.5.5 大中型企业、其他自然人、法人或者非法人组织与小型、微型企业组成联合体共同参加磋商，联合体协议中应写明小型、微型企业的协议合同金额占到联合体合同总金额的比例。</w:t>
      </w:r>
    </w:p>
    <w:p w14:paraId="2EE93B13">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3.5.6 联合体中有同类资质的供应商按照联合体分工承担相同工作的，应当按照资质等级较低的供应商确定资质等级。</w:t>
      </w:r>
    </w:p>
    <w:p w14:paraId="1526E3D2">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3.5.7 以联合体形式参加政府采购活动的，联合体各方不得再单独参加或者与其他供应商另外组成联合体参加本项目磋商，否则相关响应文件将被认定为响应无效。</w:t>
      </w:r>
    </w:p>
    <w:p w14:paraId="22454F98">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3.5.8 对联合体磋商的其他资格要求见供应商资格。</w:t>
      </w:r>
    </w:p>
    <w:p w14:paraId="06D906BF">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3.6 单位负责人为同一人或者存在直接控股、管理关系的不同供应商，不得参加同一合同项下的政府采购活动。否则其磋商将被认定为磋商无效。</w:t>
      </w:r>
    </w:p>
    <w:p w14:paraId="46AEAC94">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3.7 为本项目提供过整体设计、规范编制或者项目管理、监理、检测等服务的供应商，不得再参加本项目上述服务以外的其他采购活动。否则其磋商将被认定为 磋商无效。</w:t>
      </w:r>
    </w:p>
    <w:p w14:paraId="51F0CDBF">
      <w:pPr>
        <w:ind w:firstLine="482" w:firstLineChars="200"/>
        <w:rPr>
          <w:color w:val="auto"/>
          <w:highlight w:val="none"/>
        </w:rPr>
      </w:pPr>
      <w:r>
        <w:rPr>
          <w:rFonts w:hint="eastAsia" w:ascii="宋体" w:hAnsi="宋体" w:cs="宋体"/>
          <w:b/>
          <w:bCs/>
          <w:color w:val="auto"/>
          <w:kern w:val="0"/>
          <w:sz w:val="24"/>
          <w:highlight w:val="none"/>
        </w:rPr>
        <w:t>4.资金落实情况</w:t>
      </w:r>
    </w:p>
    <w:p w14:paraId="1912F647">
      <w:pPr>
        <w:rPr>
          <w:rFonts w:hint="eastAsia" w:ascii="宋体" w:hAnsi="宋体" w:cs="宋体"/>
          <w:color w:val="auto"/>
          <w:sz w:val="24"/>
          <w:highlight w:val="none"/>
        </w:rPr>
      </w:pPr>
      <w:r>
        <w:rPr>
          <w:rFonts w:hint="eastAsia" w:ascii="宋体" w:hAnsi="宋体" w:cs="宋体"/>
          <w:color w:val="auto"/>
          <w:sz w:val="24"/>
          <w:highlight w:val="none"/>
        </w:rPr>
        <w:t xml:space="preserve">    4.1 本项目的采购人已获得足以支付本次磋商后所签订的合同项下的资金。</w:t>
      </w:r>
    </w:p>
    <w:p w14:paraId="284385C4">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4.2 项目预算金额和分项（或分包）最高限价见磋商公告（磋商邀请）。</w:t>
      </w:r>
    </w:p>
    <w:p w14:paraId="688720AD">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5.磋商费用</w:t>
      </w:r>
    </w:p>
    <w:p w14:paraId="2FA8FF14">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不论磋商的结果如何，供应商应承担所有与准备和参加磋商有关的费用。</w:t>
      </w:r>
    </w:p>
    <w:p w14:paraId="0C3987FB">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6.适用法律</w:t>
      </w:r>
    </w:p>
    <w:p w14:paraId="46406AAA">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目采购人、采购代理机构、供应商、磋商小组的相关行为均受《中华人民共和国政府采购法》、《中华人民共和国政府采购法实施条例》及本项目本级和上级财政部门、政府采购监督管理部门的政府采购有关规定的约束，其权利受到上述法律法规的保护。</w:t>
      </w:r>
    </w:p>
    <w:p w14:paraId="799C11E6">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7.磋商文件构成</w:t>
      </w:r>
    </w:p>
    <w:p w14:paraId="747DB3FB">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7.1 磋商文件包括下列内容：</w:t>
      </w:r>
    </w:p>
    <w:p w14:paraId="0815ADB5">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第一章 磋商公告（磋商邀请）</w:t>
      </w:r>
    </w:p>
    <w:p w14:paraId="01600C67">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第二章 供应商须知</w:t>
      </w:r>
    </w:p>
    <w:p w14:paraId="78763385">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第三章 采购需求</w:t>
      </w:r>
    </w:p>
    <w:p w14:paraId="42127DF0">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第四章 评标方法和标准</w:t>
      </w:r>
    </w:p>
    <w:p w14:paraId="0F2607AC">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第五章 政府采购合同</w:t>
      </w:r>
    </w:p>
    <w:p w14:paraId="63A07CE5">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第六章 磋商文件格式</w:t>
      </w:r>
    </w:p>
    <w:p w14:paraId="2F7D9925">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第七章 政府采购供应商质疑函范本</w:t>
      </w:r>
    </w:p>
    <w:p w14:paraId="31F5CECE">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7.2 磋商文件中有不一致的，有澄清的部分以最终的澄清更正内容为准。</w:t>
      </w:r>
    </w:p>
    <w:p w14:paraId="1E4B25A8">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7.3 现场考察及相关事项见供应商须知前附表。</w:t>
      </w:r>
    </w:p>
    <w:p w14:paraId="3F7DCD27">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7.4 如需提供样品，对样品相关要求见采购需求，对样品的评审方法及评审标准见磋商文件第四章。</w:t>
      </w:r>
    </w:p>
    <w:p w14:paraId="0771E03E">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7.5 供应商应认真阅读磋商文件所有的事项、格式、条款和技术规范等。</w:t>
      </w:r>
    </w:p>
    <w:p w14:paraId="0A4AF5A3">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8.磋商文件的澄清与修改</w:t>
      </w:r>
    </w:p>
    <w:p w14:paraId="531B926C">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8.1 供应商如对磋商文件内容有疑问，其提出期限见供应商须知前附表。 </w:t>
      </w:r>
    </w:p>
    <w:p w14:paraId="0D749136">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8.2 采购人可主动地或在解答供应商提出的问题时对磋商文件进行澄清与修改。采购代理机构将在</w:t>
      </w:r>
      <w:r>
        <w:rPr>
          <w:rFonts w:hint="eastAsia" w:ascii="宋体" w:hAnsi="宋体" w:cs="仿宋_GB2312"/>
          <w:color w:val="auto"/>
          <w:kern w:val="0"/>
          <w:sz w:val="24"/>
          <w:highlight w:val="none"/>
          <w:shd w:val="clear" w:color="auto" w:fill="FFFFFF"/>
          <w:lang w:eastAsia="zh-CN"/>
        </w:rPr>
        <w:t>池州市工业和信息化局网</w:t>
      </w:r>
      <w:r>
        <w:rPr>
          <w:rFonts w:hint="eastAsia" w:ascii="宋体" w:hAnsi="宋体" w:cs="仿宋_GB2312"/>
          <w:color w:val="auto"/>
          <w:kern w:val="0"/>
          <w:sz w:val="24"/>
          <w:highlight w:val="none"/>
          <w:shd w:val="clear" w:color="auto" w:fill="FFFFFF"/>
        </w:rPr>
        <w:t>上</w:t>
      </w:r>
      <w:r>
        <w:rPr>
          <w:rFonts w:hint="eastAsia" w:ascii="宋体" w:hAnsi="宋体" w:cs="宋体"/>
          <w:color w:val="auto"/>
          <w:sz w:val="24"/>
          <w:highlight w:val="none"/>
        </w:rPr>
        <w:t>以发布澄清（更正）公告的方式，澄清或修改磋商文件，澄清或修改的内容作为磋商文件的组成部分，对供应商起约束作用。当磋商文件、磋商文件的答疑、澄清、变更或补充等在同一内容的表述不一致时，以最后发出的书面文件为准。供应商应主动上网查询。采购代理机构不承担供应商未及时关注相关信息引发的相关责任。</w:t>
      </w:r>
    </w:p>
    <w:p w14:paraId="09DC0F6C">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8.3 任何人或任何组织向供应商提供的任何书面或口头资料，未经采购代理机构在网上发布或书面通知，均作无效处理，不得作为磋商文件的组成部分。采购代理机构对供应商由此而做出的推论、理解和结论概不负责。</w:t>
      </w:r>
    </w:p>
    <w:p w14:paraId="345C596C">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8.4 对于没有提出疑问又参与了本项目磋商的供应商将被视为完全认同本磋商文件（含澄清或修改的内容） 。</w:t>
      </w:r>
    </w:p>
    <w:p w14:paraId="7EED50C4">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9.磋商范围及磋商文件成交准和计量单位的使用</w:t>
      </w:r>
    </w:p>
    <w:p w14:paraId="12D68853">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9.1 项目有分包的，供应商可对磋商文件其中某一个或几个分包货物进行磋商，除非在供应商须知前附表中另有规定。</w:t>
      </w:r>
    </w:p>
    <w:p w14:paraId="72EE5514">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9.2 无论磋商文件中是否要求，供应商所投货物及伴随的服务和工程均应符合国家强制性标准。对于实施强制性产品认证的产品，如存在委托生产制造模式，则该产品应获得委托方作为生产者(制造商)、被委托方作为生产企业(生产厂)的 CCC 认证证书。</w:t>
      </w:r>
    </w:p>
    <w:p w14:paraId="327DE650">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9.3 供应商与采购代理机构之间与磋商有关的所有往来通知、函件和磋商文件均用中文表述。供应商随磋商文件提供的证明文件和资料可以为其它语言，但必须附中文译文。翻译的中文资料与外文资料出现差异时，以中文为准。</w:t>
      </w:r>
    </w:p>
    <w:p w14:paraId="7B9CB624">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9.4 除磋商文件中有特殊要求外，磋商文件中所使用的计量单位，应采用中华人民共和国法定计量单位。</w:t>
      </w:r>
    </w:p>
    <w:p w14:paraId="7BDAF6A8">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10.响应文件构成</w:t>
      </w:r>
    </w:p>
    <w:p w14:paraId="7257EB6B">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10.1 供应商应完整地按磋商文件提供的响应文件格式及要求编写响应文件，具体内容详见本项目第六章响应文件格式的相关内容。</w:t>
      </w:r>
    </w:p>
    <w:p w14:paraId="57BD039C">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10.2 上述文件应按照磋商文件规定的格式填写、签署和盖章。</w:t>
      </w:r>
    </w:p>
    <w:p w14:paraId="687544C0">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11.报价</w:t>
      </w:r>
    </w:p>
    <w:p w14:paraId="5C03205C">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11.1 供应商的报价应当包括满足本次磋商全部采购需求所应提供的服务，以及伴随的货物和工程。所有内容均应以人民币报价，供应商的磋商报价应遵守《中华人民共和国价格法》。</w:t>
      </w:r>
    </w:p>
    <w:p w14:paraId="5A9CF3FC">
      <w:pPr>
        <w:spacing w:line="40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11.2 供应商应在分项报价表上标明分项服务、伴随的货物和工程的价格（如适用）和总价，未标明的视同包含在磋商报价中。如果有计算或累加上的算术错误，将按以下方法进行修正：</w:t>
      </w:r>
    </w:p>
    <w:p w14:paraId="02FACC4E">
      <w:pPr>
        <w:spacing w:line="40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（1）如单价累计与总价不符，以单价累计为准；</w:t>
      </w:r>
    </w:p>
    <w:p w14:paraId="4865D061">
      <w:pPr>
        <w:spacing w:line="40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（2）小写与大写不符，以大写为准。</w:t>
      </w:r>
    </w:p>
    <w:p w14:paraId="743BA958">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11.3 除非磋商文件另有规定或经采购人同意支付的，最后报价均不得高于磋商文件（公告）列明的项目预算，否则其响应文件将被认定为响应无效。</w:t>
      </w:r>
    </w:p>
    <w:p w14:paraId="7601E406">
      <w:pPr>
        <w:spacing w:line="40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11.4除非磋商文件另有规定，每一包只允许有一个最终报价，任何有选择的报价或替代方案将导致响应无效。</w:t>
      </w:r>
    </w:p>
    <w:p w14:paraId="2713541E">
      <w:pPr>
        <w:spacing w:line="40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11.5除非磋商文件另有规定，不建议供应商采用总价优惠或以总价百分比优惠的方式进行投标报价，其优惠可直接计算并体现在各项投标报价的单价中。</w:t>
      </w:r>
    </w:p>
    <w:p w14:paraId="5D6DD6B4">
      <w:pPr>
        <w:spacing w:line="400" w:lineRule="atLeas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11.6 除非磋商文件另有规定，报价可精确到小数点后两位，如不足两位，按照两位计算，如超出两位，按照四舍五入方式计算至小数点后两位（报价单位按谈判文件约定）。</w:t>
      </w:r>
    </w:p>
    <w:p w14:paraId="616F759E">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11.7 报价在合同履行过程中是固定不变的，不得以任何理由予以变更。任何包含价格调整要求的谈判，其响应文件将被认定为响应无效。</w:t>
      </w:r>
    </w:p>
    <w:p w14:paraId="0F12D6EF">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11.8采购人不接受具有附加条件的报价。</w:t>
      </w:r>
    </w:p>
    <w:p w14:paraId="727ACC09">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12.磋商保证金</w:t>
      </w:r>
    </w:p>
    <w:p w14:paraId="07468576">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12.1 供应商应提交供应商须知前附表中规定的磋商保证金，并作为其响应文件的一部分。供应商未按规定提交磋商保证金的，其响应文件将被认定为 响应无效。</w:t>
      </w:r>
    </w:p>
    <w:p w14:paraId="361843FB">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12.2 供应商请注意：</w:t>
      </w:r>
    </w:p>
    <w:p w14:paraId="4FB0B04B">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（1）前次采购失败的，采购代理机构可能退还供应商的磋商保证金。</w:t>
      </w:r>
    </w:p>
    <w:p w14:paraId="4EA0C51A">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采购代理机构磋商保证金缴纳账号采用动态虚拟账号（分包项目每一个包别对应一个账号），项目采购失败后，磋商保证金缴纳账号可能会发生变化，请供应商参与后续采购时，注意勿将磋商保证金错交至其他项目虚拟账号或前次公告账号。</w:t>
      </w:r>
    </w:p>
    <w:p w14:paraId="43CA38B9">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12.3 磋商保证金缴纳人名称与供应商名称应当一致。除非磋商文件另有规定，分公司或子公司代缴磋商保证金，视同名称不一致。磋商保证金缴纳人名称与供应商名称不一致的，其响应文件将被认定为 响应无效。</w:t>
      </w:r>
    </w:p>
    <w:p w14:paraId="3D345FFC">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12.4联合体参加磋商的，可以由联合体中的一方或者共同提交磋商保证金。以一方名义提交磋商保证金的，对联合体各方均具有约束力。</w:t>
      </w:r>
    </w:p>
    <w:p w14:paraId="4DC9C3A4">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12.5 采购代理机构将在成交通知书发出后五个工作日内退还未成交供应商的磋商保证金，在采购合同签订后五个工作日内退还成交供应商的磋商保证金；</w:t>
      </w:r>
    </w:p>
    <w:p w14:paraId="2D6FA437">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12.6 因供应商自身原因导致无法及时退还的，采购人或采购代理机构将不承担相应责任。</w:t>
      </w:r>
    </w:p>
    <w:p w14:paraId="6AAE3470">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12.7 有下列情形之一的，磋商保证金不予退还：</w:t>
      </w:r>
    </w:p>
    <w:p w14:paraId="3C69199A">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（1）供应商在提交响应文件截止时间后撤回响应文件的；</w:t>
      </w:r>
    </w:p>
    <w:p w14:paraId="13D72C4F">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（2）供应商在响应文件中提供虚假材料的；</w:t>
      </w:r>
    </w:p>
    <w:p w14:paraId="18AB14D0">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（3）除因不可抗力或磋商文件认可的情形以外，成交供应商放弃成交资格或不与采购人签订合同的；</w:t>
      </w:r>
    </w:p>
    <w:p w14:paraId="0C2ACF53">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（4）供应商与采购人、其他供应商或者采购代理机构恶意串通的；</w:t>
      </w:r>
    </w:p>
    <w:p w14:paraId="22340330">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（5）供应商须知前附表中规定的其他不予退还磋商保证金的情形。</w:t>
      </w:r>
    </w:p>
    <w:p w14:paraId="6118EED3">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13.磋商有效期</w:t>
      </w:r>
    </w:p>
    <w:p w14:paraId="26C83862">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13.1 磋商有效期为从响应文件提交截止之日算起的日历天数，磋商有效期详见供应商须知前附表。</w:t>
      </w:r>
    </w:p>
    <w:p w14:paraId="5A6ADF8C">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13.2 在磋商有效期内，供应商的磋商保持有效，供应商不得要求撤销或修改其响应文件。磋商有效期不满足要求的响应，其响应文件将被认定为 响应无效。</w:t>
      </w:r>
    </w:p>
    <w:p w14:paraId="7CFA3C31">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13.3为保证有充分时间签订合同，采购人或采购代理机构可根据实际情况，在原磋商有效期截止之前，要求供应商延长磋商有效期。接受该要求的供应商将不会被要求和允许修正其响应文件。供应商可以拒绝延长磋商有效期的要求，且不承担任何责任。上述要求和答复都应以书面形式提交。</w:t>
      </w:r>
    </w:p>
    <w:p w14:paraId="5FD2DE31">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14.响应文件的制作与要求</w:t>
      </w:r>
    </w:p>
    <w:p w14:paraId="4B68B49D">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14.1响应文件正本一份，副本份数见“</w:t>
      </w:r>
      <w:r>
        <w:rPr>
          <w:rFonts w:hint="eastAsia" w:ascii="宋体" w:hAnsi="宋体" w:cs="宋体"/>
          <w:b/>
          <w:bCs/>
          <w:color w:val="auto"/>
          <w:sz w:val="24"/>
          <w:highlight w:val="none"/>
        </w:rPr>
        <w:t>供应商须知前附表</w:t>
      </w:r>
      <w:r>
        <w:rPr>
          <w:rFonts w:hint="eastAsia" w:ascii="宋体" w:hAnsi="宋体" w:cs="宋体"/>
          <w:color w:val="auto"/>
          <w:sz w:val="24"/>
          <w:highlight w:val="none"/>
        </w:rPr>
        <w:t>”。正本和副本封面应注明“正本”或“副本”的字样，正本与副本应一致；若正本与副本不一致，以正本为准。</w:t>
      </w:r>
    </w:p>
    <w:p w14:paraId="641F815A">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14.2响应文件应用不褪色的材料打印或书写，应当在响应文件要求签章处签字或盖章。授权代表须将以书面形式出具的“法定代表人授权书”附在响应文件中。</w:t>
      </w:r>
    </w:p>
    <w:p w14:paraId="38E6D506">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14.3响应文件中的任何行间插字、涂改和增删，改动之处应加盖单位公章或法定代表人签字（或盖章）或其授权代表签字（或盖章）。</w:t>
      </w:r>
    </w:p>
    <w:p w14:paraId="6C0D82F5">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14.4 开标现场提交的其他材料要求详见供应商须知前附表。</w:t>
      </w:r>
    </w:p>
    <w:p w14:paraId="1A7CC964">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14.5除“</w:t>
      </w:r>
      <w:r>
        <w:rPr>
          <w:rFonts w:hint="eastAsia" w:ascii="宋体" w:hAnsi="宋体" w:cs="宋体"/>
          <w:b/>
          <w:bCs/>
          <w:color w:val="auto"/>
          <w:sz w:val="24"/>
          <w:highlight w:val="none"/>
        </w:rPr>
        <w:t>供应商须知前附表</w:t>
      </w:r>
      <w:r>
        <w:rPr>
          <w:rFonts w:hint="eastAsia" w:ascii="宋体" w:hAnsi="宋体" w:cs="宋体"/>
          <w:color w:val="auto"/>
          <w:sz w:val="24"/>
          <w:highlight w:val="none"/>
        </w:rPr>
        <w:t>”另有规定外，供应商应将所有响应文件（正本、副本）密封装袋。所有封袋的封口处应粘贴牢固，应当加盖密封章（磋商供应商公章）。</w:t>
      </w:r>
    </w:p>
    <w:p w14:paraId="0B16F6C5">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14.6除“</w:t>
      </w:r>
      <w:r>
        <w:rPr>
          <w:rFonts w:hint="eastAsia" w:ascii="宋体" w:hAnsi="宋体" w:cs="宋体"/>
          <w:b/>
          <w:bCs/>
          <w:color w:val="auto"/>
          <w:sz w:val="24"/>
          <w:highlight w:val="none"/>
        </w:rPr>
        <w:t>供应商须知前附表</w:t>
      </w:r>
      <w:r>
        <w:rPr>
          <w:rFonts w:hint="eastAsia" w:ascii="宋体" w:hAnsi="宋体" w:cs="宋体"/>
          <w:color w:val="auto"/>
          <w:sz w:val="24"/>
          <w:highlight w:val="none"/>
        </w:rPr>
        <w:t>”另有规定外，应当在密封袋上注明：项目名称、项目编号、磋商供应商名称、（分包项目）所投包别等字样。</w:t>
      </w:r>
    </w:p>
    <w:p w14:paraId="63BC2C4B">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15.响应文件提交截止时间</w:t>
      </w:r>
    </w:p>
    <w:p w14:paraId="39BC6152">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15.1供应商应当按照“磋商公告”规定的时间提交。</w:t>
      </w:r>
    </w:p>
    <w:p w14:paraId="2D80D191">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15.2 采购人和采购代理机构延迟响应文件提交截止时间的。采购人、采购代理机构和供应商受响应文件提交截止时间制约的所有权利和义务均应延长至新的截止时间。</w:t>
      </w:r>
    </w:p>
    <w:p w14:paraId="5673A13B">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16.响应文件的递交 、修改与撤回</w:t>
      </w:r>
    </w:p>
    <w:p w14:paraId="4438C59D">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16.1磋商供应商应当按照“</w:t>
      </w:r>
      <w:r>
        <w:rPr>
          <w:rFonts w:hint="eastAsia" w:ascii="宋体" w:hAnsi="宋体" w:cs="宋体"/>
          <w:b/>
          <w:bCs/>
          <w:color w:val="auto"/>
          <w:sz w:val="24"/>
          <w:highlight w:val="none"/>
        </w:rPr>
        <w:t>磋商公告</w:t>
      </w:r>
      <w:r>
        <w:rPr>
          <w:rFonts w:hint="eastAsia" w:ascii="宋体" w:hAnsi="宋体" w:cs="宋体"/>
          <w:color w:val="auto"/>
          <w:sz w:val="24"/>
          <w:highlight w:val="none"/>
        </w:rPr>
        <w:t>”规定的时间将响应文件密封送达指定的开标地点。</w:t>
      </w:r>
    </w:p>
    <w:p w14:paraId="35827A0C">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16.2逾期送达或未送达指定地点的响应文件，</w:t>
      </w:r>
      <w:r>
        <w:rPr>
          <w:rFonts w:hint="eastAsia" w:ascii="宋体" w:hAnsi="宋体" w:cs="宋体"/>
          <w:bCs/>
          <w:color w:val="auto"/>
          <w:sz w:val="24"/>
          <w:highlight w:val="none"/>
        </w:rPr>
        <w:t>代理机构</w:t>
      </w:r>
      <w:r>
        <w:rPr>
          <w:rFonts w:hint="eastAsia" w:ascii="宋体" w:hAnsi="宋体" w:cs="宋体"/>
          <w:color w:val="auto"/>
          <w:sz w:val="24"/>
          <w:highlight w:val="none"/>
        </w:rPr>
        <w:t>将不予接受。</w:t>
      </w:r>
    </w:p>
    <w:p w14:paraId="3F5FC9FD">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16.3在磋商文件规定的磋商截止时间前，供应商可以书面形式修改或撤回</w:t>
      </w:r>
      <w:r>
        <w:rPr>
          <w:rFonts w:hint="eastAsia" w:ascii="宋体" w:hAnsi="宋体" w:cs="宋体"/>
          <w:color w:val="auto"/>
          <w:sz w:val="24"/>
          <w:highlight w:val="none"/>
          <w:lang w:eastAsia="zh-CN"/>
        </w:rPr>
        <w:t>已</w:t>
      </w:r>
      <w:r>
        <w:rPr>
          <w:rFonts w:hint="eastAsia" w:ascii="宋体" w:hAnsi="宋体" w:cs="宋体"/>
          <w:color w:val="auto"/>
          <w:sz w:val="24"/>
          <w:highlight w:val="none"/>
        </w:rPr>
        <w:t>递交的响应文件，但应以书面形式通知</w:t>
      </w:r>
      <w:r>
        <w:rPr>
          <w:rFonts w:hint="eastAsia" w:ascii="宋体" w:hAnsi="宋体" w:cs="宋体"/>
          <w:bCs/>
          <w:color w:val="auto"/>
          <w:sz w:val="24"/>
          <w:highlight w:val="none"/>
        </w:rPr>
        <w:t>代理机构</w:t>
      </w:r>
      <w:r>
        <w:rPr>
          <w:rFonts w:hint="eastAsia" w:ascii="宋体" w:hAnsi="宋体" w:cs="宋体"/>
          <w:color w:val="auto"/>
          <w:sz w:val="24"/>
          <w:highlight w:val="none"/>
        </w:rPr>
        <w:t>。在磋商截止时间后，供应商不得再要求修改或撤回其响应文件。</w:t>
      </w:r>
    </w:p>
    <w:p w14:paraId="1B14907F">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16.4修改、补充的内容为响应文件的组成部分。修改、补充的响应文件应按本章第14、16.1条规定签署、密封、标记和递交，并标明“修改、补充”字样。</w:t>
      </w:r>
    </w:p>
    <w:p w14:paraId="11F3842A">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17.磋商小组</w:t>
      </w:r>
    </w:p>
    <w:p w14:paraId="703F606E">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17.1 本项目将依法组建磋商小组，磋商小组成员由 3 人以上（含）单数组成，磋商小组及其成员应当依照政府采购的有关规定履行相关职责和义务。</w:t>
      </w:r>
    </w:p>
    <w:p w14:paraId="0431F255">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17.2 磋商小组依法对响应文件进行评审，并根据磋商文件规定的程序、评定成交的标准等事项与实质性响应磋商文件要求的供应商进行磋商。</w:t>
      </w:r>
    </w:p>
    <w:p w14:paraId="36BA7D5E">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17.3 磋商小组应当从质量和服务均能满足磋商文件实质性响应要求的供应商中，按照评审方法和标准推荐成交候选供应商，并编写评审报告。</w:t>
      </w:r>
    </w:p>
    <w:p w14:paraId="33129E0C">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18. 响应文件的评审与磋商</w:t>
      </w:r>
    </w:p>
    <w:p w14:paraId="38521083">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18.1 采购人和采购代理机构将在供应商须知前附表规定的时间和地点组织磋商。</w:t>
      </w:r>
    </w:p>
    <w:p w14:paraId="649CC3EC">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18.2 竞争性磋商活动采用综合评分法评审。</w:t>
      </w:r>
    </w:p>
    <w:p w14:paraId="5EED7D1C">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综合评分法，是指响应文件满足磋商文件全部实质性要求且按评审因素的量化指标评审得分最高的供应商为成交候选供应商的评审方法。</w:t>
      </w:r>
    </w:p>
    <w:p w14:paraId="1E6C14AF">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18.3 磋商小组将按照磋商文件规定的评审方法和标准对供应商独立进行评审。评审程序如下：</w:t>
      </w:r>
    </w:p>
    <w:p w14:paraId="4AC68527">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18.3.1 </w:t>
      </w:r>
      <w:r>
        <w:rPr>
          <w:rFonts w:hint="eastAsia" w:ascii="宋体" w:hAnsi="宋体" w:cs="宋体"/>
          <w:b/>
          <w:color w:val="auto"/>
          <w:sz w:val="24"/>
          <w:highlight w:val="none"/>
        </w:rPr>
        <w:t xml:space="preserve"> 初审</w:t>
      </w:r>
      <w:r>
        <w:rPr>
          <w:rFonts w:hint="eastAsia" w:ascii="宋体" w:hAnsi="宋体" w:cs="宋体"/>
          <w:color w:val="auto"/>
          <w:sz w:val="24"/>
          <w:highlight w:val="none"/>
        </w:rPr>
        <w:t>。磋商小组对供应商必须满足和实质性响应的内容进行评审，供应商未实质性响应磋商文件要求导致响应无效的，磋商小组将以书面询标的方式告知有关供应商。</w:t>
      </w:r>
    </w:p>
    <w:p w14:paraId="3B62DEAD">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18.3.2  </w:t>
      </w:r>
      <w:r>
        <w:rPr>
          <w:rFonts w:hint="eastAsia" w:ascii="宋体" w:hAnsi="宋体" w:cs="宋体"/>
          <w:b/>
          <w:color w:val="auto"/>
          <w:sz w:val="24"/>
          <w:highlight w:val="none"/>
        </w:rPr>
        <w:t>磋商</w:t>
      </w:r>
      <w:r>
        <w:rPr>
          <w:rFonts w:hint="eastAsia" w:ascii="宋体" w:hAnsi="宋体" w:cs="宋体"/>
          <w:color w:val="auto"/>
          <w:sz w:val="24"/>
          <w:highlight w:val="none"/>
        </w:rPr>
        <w:t>。初审合格后，磋商小组可能将与单一供应商分别进行磋商，并给予所有参加磋商的供应商平等的磋商机会，如供应商未到磋商现场的，视同放弃该权利。</w:t>
      </w:r>
    </w:p>
    <w:p w14:paraId="02FC4CD3">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18.3.3  </w:t>
      </w:r>
      <w:r>
        <w:rPr>
          <w:rFonts w:hint="eastAsia" w:ascii="宋体" w:hAnsi="宋体" w:cs="宋体"/>
          <w:b/>
          <w:color w:val="auto"/>
          <w:sz w:val="24"/>
          <w:highlight w:val="none"/>
        </w:rPr>
        <w:t>报价</w:t>
      </w:r>
      <w:r>
        <w:rPr>
          <w:rFonts w:hint="eastAsia" w:ascii="宋体" w:hAnsi="宋体" w:cs="宋体"/>
          <w:color w:val="auto"/>
          <w:sz w:val="24"/>
          <w:highlight w:val="none"/>
        </w:rPr>
        <w:t>。磋商结束后，磋商小组应当要求所有实质性响应的供应商在规定时间内提交最后报价。</w:t>
      </w:r>
    </w:p>
    <w:p w14:paraId="1B8FB802">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18.3.4  </w:t>
      </w:r>
      <w:r>
        <w:rPr>
          <w:rFonts w:hint="eastAsia" w:ascii="宋体" w:hAnsi="宋体" w:cs="宋体"/>
          <w:b/>
          <w:color w:val="auto"/>
          <w:sz w:val="24"/>
          <w:highlight w:val="none"/>
        </w:rPr>
        <w:t>综合评分</w:t>
      </w:r>
      <w:r>
        <w:rPr>
          <w:rFonts w:hint="eastAsia" w:ascii="宋体" w:hAnsi="宋体" w:cs="宋体"/>
          <w:color w:val="auto"/>
          <w:sz w:val="24"/>
          <w:highlight w:val="none"/>
        </w:rPr>
        <w:t>。磋商小组只对通过初审，实质上响应磋商文件要求的响应文件进行综合评分。经磋商确定最终采购需求和提交最后报价的供应商后，由磋商小组采用综合评分法对提交最后报价的供应商的响应文件和最后报价进行综合评分。</w:t>
      </w:r>
    </w:p>
    <w:p w14:paraId="4A25B647">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18.4 相关说明。</w:t>
      </w:r>
    </w:p>
    <w:p w14:paraId="47D3A5A8">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18.4.1为保证磋商活动顺利进行，供应商可派相关技术人员进行现场答疑；</w:t>
      </w:r>
    </w:p>
    <w:p w14:paraId="37359EF4">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18.4.2 磋商小组根据与供应商磋商情况可能实质性变动磋商文件的内容，包括采购需求中的技术、服务要求以及合同草案条款。磋商文件有实质性变动的，经采购人代表确认作为磋商文件的有效组成部分，磋商小组将以书面形式通知所有参加磋商的供应商。</w:t>
      </w:r>
    </w:p>
    <w:p w14:paraId="3AA104C6">
      <w:pPr>
        <w:ind w:firstLine="480" w:firstLineChars="200"/>
        <w:rPr>
          <w:rFonts w:hint="eastAsia" w:ascii="宋体" w:hAnsi="宋体" w:cs="宋体"/>
          <w:color w:val="auto"/>
          <w:sz w:val="24"/>
          <w:szCs w:val="24"/>
          <w:highlight w:val="none"/>
        </w:rPr>
      </w:pPr>
      <w:r>
        <w:rPr>
          <w:rFonts w:hint="eastAsia" w:ascii="宋体" w:hAnsi="宋体" w:cs="宋体"/>
          <w:color w:val="auto"/>
          <w:sz w:val="24"/>
          <w:highlight w:val="none"/>
        </w:rPr>
        <w:t xml:space="preserve">18.4.3 </w:t>
      </w:r>
      <w:r>
        <w:rPr>
          <w:rFonts w:hint="eastAsia" w:ascii="宋体" w:hAnsi="宋体" w:cs="宋体"/>
          <w:color w:val="auto"/>
          <w:sz w:val="24"/>
          <w:szCs w:val="24"/>
          <w:highlight w:val="none"/>
        </w:rPr>
        <w:t>磋商过程中，磋商小组发现供应商的报价或者某些分项报价明显不合理或者低于成本，有可能影响商品质量和不能诚信履约的，应当要求其在规定的期限内提供书面文件予以解释说明，并提交相关证明材料；否则，磋商小组可以取消该供应商的成交候选资格，按顺序由排在后面的成交候选供应商递补，以此类推。</w:t>
      </w:r>
    </w:p>
    <w:p w14:paraId="34B4BEA4">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18.4.4 无论何种原因，即使供应商磋商时携带了证书材料的原件，但响应文件中未提供与之内容完全一致的扫描件的，磋商小组可以视同其未提供。</w:t>
      </w:r>
    </w:p>
    <w:p w14:paraId="3E8EB974">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18.4.5 磋商小组决定响应文件的响应性及符合性只根据响应文件本身的内容，而不寻求其他外部证据。</w:t>
      </w:r>
    </w:p>
    <w:p w14:paraId="162627DB">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18.5 供应商授权代表对磋商过程有疑义，以及认为采购人、采购代理机构相关工作人员有需要回避的情形的，应当场提出询问或者回避申请，并说明理由。</w:t>
      </w:r>
    </w:p>
    <w:p w14:paraId="2274D653">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19.终止竞争性磋商</w:t>
      </w:r>
    </w:p>
    <w:p w14:paraId="4B1C1955">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19.1 出现下列情况之一时，采购人和采购代理机构有权宣布终止竞争性磋商采购，并将理由通知所有供应商：</w:t>
      </w:r>
    </w:p>
    <w:p w14:paraId="70B66A4D">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（1）有效供应商数量不足，导致本次磋商缺乏竞争的；</w:t>
      </w:r>
    </w:p>
    <w:p w14:paraId="568B667F">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（2）出现影响采购公正的违法、违规行为的；</w:t>
      </w:r>
    </w:p>
    <w:p w14:paraId="06D488ED">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（3）因重大变故，采购任务取消的；</w:t>
      </w:r>
    </w:p>
    <w:p w14:paraId="06CDDF1E">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（4）政府采购法律法规规定的其他情形。</w:t>
      </w:r>
    </w:p>
    <w:p w14:paraId="3F9D364C">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20.响应文件的澄清、说明或 更正</w:t>
      </w:r>
    </w:p>
    <w:p w14:paraId="0F6CC715">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20.1 磋商小组将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对不同文字文本响应文件的解释发生异议的，以中文文本为准。</w:t>
      </w:r>
    </w:p>
    <w:p w14:paraId="24F2D572">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20.2 磋商小组要求供应商澄清、说明或者更正响应文件应当以书面形式（询标）作出。供应商的澄清、说明或者更正应当由法定代表人或其授权代表签字或者加盖公章。</w:t>
      </w:r>
    </w:p>
    <w:p w14:paraId="7863C638">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如有询标，授权代表（或法定代表人）可携带本人有效身份证明原件参加询标。因授权代表联系不上 、未到磋商现场等情形而无法接受磋商小组询标的，供应商自行承担相关风险。</w:t>
      </w:r>
    </w:p>
    <w:p w14:paraId="17E5C08A">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21.最后报价</w:t>
      </w:r>
    </w:p>
    <w:p w14:paraId="3263A873">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21.1 磋商并不限定只进行二轮报价，如果磋商小组认为有必要，可以要求供应商进行多轮报价。</w:t>
      </w:r>
    </w:p>
    <w:p w14:paraId="0F12A99E">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21.2 在磋商内容不做实质性变更或重大调整的前提下，供应商下轮报价不得高于上一轮报价。</w:t>
      </w:r>
    </w:p>
    <w:p w14:paraId="26BF3F78">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21.3 最后报价是供应商响应文件的有效组成部分，最后报价也是签订合同的依据。</w:t>
      </w:r>
    </w:p>
    <w:p w14:paraId="1B63F722">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22. 成交候选供应商的推荐原则及标准</w:t>
      </w:r>
    </w:p>
    <w:p w14:paraId="61AD6023">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22.1 磋商小组依据本项目磋商文件所约定的评审方法和标准，按照有效供应商综合总得分由高到低依次推荐成交候选供应商。综合总得分出现两家或两家以上相同者，按最后报价由低到高排序推荐成交候选供应商；综合总得分且最后报价均相同的则按磋商文件中评审方法和标准规定的抽签决定排序；磋商文件未规定的，采取随机抽取方式确定。</w:t>
      </w:r>
    </w:p>
    <w:p w14:paraId="6FFF29A9">
      <w:pPr>
        <w:spacing w:line="44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23.确定成交候选供应商和成交供应商</w:t>
      </w:r>
    </w:p>
    <w:p w14:paraId="0105603A">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23.1 磋商小组根据综合评分的结果和供应商须知前附表中规定确定成交候选供应商，并标明排列顺序。排名第一的成交候选供应商经采购人或采购人授权的磋商小组确定为成交供应商后，由采购代理机构在指定媒体上予以公告。</w:t>
      </w:r>
    </w:p>
    <w:p w14:paraId="5E26C6AD">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24.编写评审报告</w:t>
      </w:r>
    </w:p>
    <w:p w14:paraId="41A87507">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24.1 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p>
    <w:p w14:paraId="375913FD">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25.保密要求</w:t>
      </w:r>
    </w:p>
    <w:p w14:paraId="188D264C">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25.1 评审将在严格保密的情况下进行。</w:t>
      </w:r>
    </w:p>
    <w:p w14:paraId="31959D77">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25.2 有关人员应当遵守评审工作纪律，不得泄露评审文件、评审情况和评审中获悉的国家秘密、商业秘密。</w:t>
      </w:r>
    </w:p>
    <w:p w14:paraId="124DC754">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26.成交结果公告</w:t>
      </w:r>
    </w:p>
    <w:p w14:paraId="1EAB2F79">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26.1 为体现“公开、公平、公正”的原则，磋商结束后，采购代理机构将</w:t>
      </w:r>
      <w:r>
        <w:rPr>
          <w:rFonts w:hint="eastAsia" w:ascii="宋体" w:hAnsi="宋体" w:cs="仿宋_GB2312"/>
          <w:color w:val="auto"/>
          <w:kern w:val="0"/>
          <w:sz w:val="24"/>
          <w:highlight w:val="none"/>
          <w:shd w:val="clear" w:color="auto" w:fill="FFFFFF"/>
          <w:lang w:eastAsia="zh-CN"/>
        </w:rPr>
        <w:t>池州市工业和信息化局网</w:t>
      </w:r>
      <w:r>
        <w:rPr>
          <w:rFonts w:hint="eastAsia" w:ascii="宋体" w:hAnsi="宋体" w:cs="宋体"/>
          <w:color w:val="auto"/>
          <w:sz w:val="24"/>
          <w:highlight w:val="none"/>
        </w:rPr>
        <w:t>上发布成交结果公告。</w:t>
      </w:r>
    </w:p>
    <w:p w14:paraId="7089B0C9">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26.2 成交结果公告内容应当包括采购人及其委托的采购代理机构的名称、地址、联系方式，项目名称和项目编号，成交供应商名称、地址和成交金额，主要成交标的的名称、规格型号、数量、单价、服务要求，成交结果公告期限、评审专家名单以及供应商须知前附表中约定进行公告的内容。</w:t>
      </w:r>
    </w:p>
    <w:p w14:paraId="0A91CDEC">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27.成交通知书</w:t>
      </w:r>
    </w:p>
    <w:p w14:paraId="70FE51DC">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27.1 采购代理机构发布成交结果公告的同时以供应商须知前附表规定的形式向成交供应商发出成交通知书。</w:t>
      </w:r>
    </w:p>
    <w:p w14:paraId="33837249">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27.2 成交通知书对采购人和成交供应商具有同等法律效力。成交通知书发出以后，采购人改变成交结果或者成交供应商放弃成交资格，应当承担相应的法律责任。</w:t>
      </w:r>
    </w:p>
    <w:p w14:paraId="0BEC898E">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27.3 成交通知书是合同的组成部分。</w:t>
      </w:r>
    </w:p>
    <w:p w14:paraId="7104A2EC">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28.告知磋商结果</w:t>
      </w:r>
    </w:p>
    <w:p w14:paraId="46722E29">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28.1 在公告成交结果的同时，采购代理机构同时以供应商须知前附表规定的形式告知未成交供应商本人的评审得分和排序。</w:t>
      </w:r>
    </w:p>
    <w:p w14:paraId="174463D2">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28.2 采购代理机构对未成交的供应商不做未成交原因的解释。</w:t>
      </w:r>
    </w:p>
    <w:p w14:paraId="52F8F85A">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29.履约保证金</w:t>
      </w:r>
    </w:p>
    <w:p w14:paraId="45D851B4">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29.1 成交供应商应按照供应商须知前附表规定缴纳履约保证金。</w:t>
      </w:r>
    </w:p>
    <w:p w14:paraId="286E7917">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29.2 如果成交供应商没有按照上述履约保证金的规定执行，将视为放弃成交资格。在此情况下，采购人可确定下一成交候选供应商为成交供应商，也可以重新开展采购活动。</w:t>
      </w:r>
    </w:p>
    <w:p w14:paraId="772E0070">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30.成交服务费</w:t>
      </w:r>
    </w:p>
    <w:p w14:paraId="6CAC3C38">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30.1 本项目成交服务费的收取按供应商须知前附表的规定执行。</w:t>
      </w:r>
    </w:p>
    <w:p w14:paraId="33259950">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31.签订合同</w:t>
      </w:r>
    </w:p>
    <w:p w14:paraId="5078A988">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31.1 采购人与成交供应商应当自发出成交通知书之日起 30 日内签订合同。</w:t>
      </w:r>
    </w:p>
    <w:p w14:paraId="4878B49E">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31.2 磋商文件、成交供应商的响应文件及其澄清文件等，均为签订合同的依据，不得擅自变更。合同的标的、价款、服务质量、履行期限等主要条款应当与磋商文件和成交供应商的响应文件的内容一致，采购人和成交供应商不得再另行订立背离合同实质性内容的其他协议。对任何因双方擅自变更合同引起的问题代理机构概不负责，合同风险由双方自行承担。</w:t>
      </w:r>
    </w:p>
    <w:p w14:paraId="5C34C6B6">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31.3 成交供应商拒绝与采购人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p>
    <w:p w14:paraId="0064CC9E">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32.廉洁自律规定</w:t>
      </w:r>
    </w:p>
    <w:p w14:paraId="5BF03679">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32.1 采购代理机构工作人员不得以不正当手段获取政府采购代理业务，不得与采购人、供应商恶意串通。</w:t>
      </w:r>
    </w:p>
    <w:p w14:paraId="21E5ECCC">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32.2采购代理机构工作人员不得接受采购人或者供应商组织的宴请、旅游、娱乐，不得收受礼品、现金、有价证券等，不得向采购人或者供应商报销应当由个人承担的费用。</w:t>
      </w:r>
    </w:p>
    <w:p w14:paraId="7969ABE5">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33. 质疑的提出与接收</w:t>
      </w:r>
    </w:p>
    <w:p w14:paraId="6A523E87">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33.1 供应商认为磋商文件、采购过程、成交结果使自己的权益受到损害的，可以根据《中华人民共和国政府采购法》、《中华人民共和国政府采购法实施条例》和《政府采购质疑和投诉办法》的有关规定，依法向采购人或其委托的采购代理机构提出质疑。</w:t>
      </w:r>
    </w:p>
    <w:p w14:paraId="215373CF">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33.2 质疑供应商应按照财政部制定的《政府采购质疑函范本》格式和《政府采购质疑和投诉办法》的要求，在法定质疑期内以书面形式提出质疑，超出法定质疑期提交的质疑将被拒绝。针对同一采购程序环节的质疑应一次性提出。</w:t>
      </w:r>
    </w:p>
    <w:p w14:paraId="44671F17">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超出法定质疑期的、重复提出的、分次提出的或内容、形式不符合《政府采购质疑和投诉办法》的，质疑供应商将依法承担不利后果。</w:t>
      </w:r>
    </w:p>
    <w:p w14:paraId="6481020C">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33.3 采购人或采购代理机构质疑函接收部门、联系电话和通讯地址，见供应商须知前附表。</w:t>
      </w:r>
    </w:p>
    <w:p w14:paraId="61804B5C">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34.验收</w:t>
      </w:r>
    </w:p>
    <w:p w14:paraId="303FF289">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34.1采购人为政府采购项目履约验收的责任主体，负责政府采购项目的履约验收工作。</w:t>
      </w:r>
    </w:p>
    <w:p w14:paraId="2A0E6924">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34.2采购人与成交供应商应当根据合同法的约定依法履行合同义务。</w:t>
      </w:r>
    </w:p>
    <w:p w14:paraId="55EB09F3">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采购合同的履行、违约责任和解决争议的方式等适用《中华人民共和国合同法》。</w:t>
      </w:r>
    </w:p>
    <w:p w14:paraId="0B004087">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采购人应当加强对成交供应商的履约管理，并按照采购合同约定，及时向成交供应商支付采购资金。对于成交供应商违反采购合同约定的行为，采购人应该及时处理，依法追究其违约责任。</w:t>
      </w:r>
    </w:p>
    <w:p w14:paraId="28EE0F29">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34.3采购人验收时，应成立三人以上（由合同双方、资产管理人、技术人员、纪检等相关人员组成）验收小组，明确责任，严格依照采购文件、成交通知书、政府采购合同及相关验收规范进行核对、验收，形成验收结论，并出具书面验收报告。</w:t>
      </w:r>
    </w:p>
    <w:p w14:paraId="553150BA">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34.4涉及安全、消防、环保等其他需要由质检或行业主管部门进行验收的项目，必须邀请相关部门或相关专家参与验收。</w:t>
      </w:r>
    </w:p>
    <w:p w14:paraId="182F96DA">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34.5检测费用由合同乙方（成交供应商）承担。</w:t>
      </w:r>
    </w:p>
    <w:p w14:paraId="238035B9">
      <w:pPr>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35.需要补充的其他内容</w:t>
      </w:r>
    </w:p>
    <w:p w14:paraId="37B1CE43">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35.1需要补充的其他内容，见供应商须知前附表</w:t>
      </w:r>
    </w:p>
    <w:p w14:paraId="58AD845C">
      <w:pPr>
        <w:pStyle w:val="207"/>
        <w:pageBreakBefore/>
        <w:spacing w:before="240" w:after="240"/>
        <w:rPr>
          <w:rFonts w:hint="eastAsia"/>
          <w:color w:val="auto"/>
          <w:sz w:val="32"/>
          <w:szCs w:val="32"/>
          <w:highlight w:val="none"/>
        </w:rPr>
      </w:pPr>
      <w:r>
        <w:rPr>
          <w:rFonts w:hint="eastAsia"/>
          <w:color w:val="auto"/>
          <w:sz w:val="32"/>
          <w:szCs w:val="32"/>
          <w:highlight w:val="none"/>
        </w:rPr>
        <w:t xml:space="preserve">第三章 </w:t>
      </w:r>
      <w:bookmarkEnd w:id="12"/>
      <w:r>
        <w:rPr>
          <w:rFonts w:hint="eastAsia"/>
          <w:color w:val="auto"/>
          <w:sz w:val="32"/>
          <w:szCs w:val="32"/>
          <w:highlight w:val="none"/>
        </w:rPr>
        <w:t>采购需求</w:t>
      </w:r>
    </w:p>
    <w:p w14:paraId="05C1CE3A">
      <w:pPr>
        <w:snapToGrid w:val="0"/>
        <w:spacing w:line="460" w:lineRule="exact"/>
        <w:outlineLvl w:val="2"/>
        <w:rPr>
          <w:rFonts w:hint="eastAsia" w:ascii="宋体" w:hAnsi="宋体"/>
          <w:b/>
          <w:color w:val="auto"/>
          <w:sz w:val="24"/>
          <w:szCs w:val="18"/>
          <w:highlight w:val="none"/>
        </w:rPr>
      </w:pPr>
      <w:bookmarkStart w:id="14" w:name="_Toc26349"/>
      <w:bookmarkStart w:id="15" w:name="_Toc7699"/>
      <w:bookmarkStart w:id="16" w:name="_Toc5586"/>
      <w:r>
        <w:rPr>
          <w:rFonts w:hint="eastAsia" w:ascii="宋体" w:hAnsi="宋体"/>
          <w:b/>
          <w:color w:val="auto"/>
          <w:sz w:val="24"/>
          <w:szCs w:val="18"/>
          <w:highlight w:val="none"/>
        </w:rPr>
        <w:t>一、采购需求前附表</w:t>
      </w:r>
      <w:bookmarkEnd w:id="14"/>
      <w:bookmarkEnd w:id="15"/>
    </w:p>
    <w:tbl>
      <w:tblPr>
        <w:tblStyle w:val="77"/>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4"/>
        <w:gridCol w:w="2051"/>
        <w:gridCol w:w="6383"/>
      </w:tblGrid>
      <w:tr w14:paraId="43C4A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84" w:type="dxa"/>
            <w:vAlign w:val="center"/>
          </w:tcPr>
          <w:p w14:paraId="2C9BA86E">
            <w:pPr>
              <w:pStyle w:val="196"/>
              <w:pBdr>
                <w:bottom w:val="none" w:color="auto" w:sz="0" w:space="0"/>
              </w:pBdr>
              <w:tabs>
                <w:tab w:val="clear" w:pos="4153"/>
                <w:tab w:val="clear" w:pos="8306"/>
              </w:tabs>
              <w:adjustRightInd/>
              <w:spacing w:line="240" w:lineRule="auto"/>
              <w:textAlignment w:val="auto"/>
              <w:rPr>
                <w:rFonts w:hint="eastAsia" w:ascii="宋体" w:hAnsi="宋体"/>
                <w:b/>
                <w:color w:val="auto"/>
                <w:kern w:val="2"/>
                <w:highlight w:val="none"/>
              </w:rPr>
            </w:pPr>
            <w:r>
              <w:rPr>
                <w:rFonts w:hint="eastAsia" w:ascii="宋体" w:hAnsi="宋体"/>
                <w:b/>
                <w:color w:val="auto"/>
                <w:kern w:val="2"/>
                <w:highlight w:val="none"/>
              </w:rPr>
              <w:t>序号</w:t>
            </w:r>
          </w:p>
        </w:tc>
        <w:tc>
          <w:tcPr>
            <w:tcW w:w="2051" w:type="dxa"/>
            <w:vAlign w:val="center"/>
          </w:tcPr>
          <w:p w14:paraId="423B2646">
            <w:pPr>
              <w:pStyle w:val="222"/>
              <w:widowControl w:val="0"/>
              <w:spacing w:before="0" w:beforeAutospacing="0" w:after="0" w:afterAutospacing="0" w:line="360" w:lineRule="auto"/>
              <w:rPr>
                <w:rFonts w:hint="eastAsia" w:ascii="宋体" w:hAnsi="宋体"/>
                <w:bCs w:val="0"/>
                <w:color w:val="auto"/>
                <w:sz w:val="24"/>
                <w:highlight w:val="none"/>
              </w:rPr>
            </w:pPr>
            <w:r>
              <w:rPr>
                <w:rFonts w:hint="eastAsia" w:ascii="宋体" w:hAnsi="宋体"/>
                <w:bCs w:val="0"/>
                <w:color w:val="auto"/>
                <w:sz w:val="24"/>
                <w:highlight w:val="none"/>
              </w:rPr>
              <w:t>条款名称</w:t>
            </w:r>
          </w:p>
        </w:tc>
        <w:tc>
          <w:tcPr>
            <w:tcW w:w="6383" w:type="dxa"/>
            <w:vAlign w:val="center"/>
          </w:tcPr>
          <w:p w14:paraId="3C49507E">
            <w:pPr>
              <w:pStyle w:val="222"/>
              <w:widowControl w:val="0"/>
              <w:spacing w:before="0" w:beforeAutospacing="0" w:after="0" w:afterAutospacing="0" w:line="360" w:lineRule="auto"/>
              <w:rPr>
                <w:rFonts w:hint="eastAsia" w:ascii="宋体" w:hAnsi="宋体"/>
                <w:bCs w:val="0"/>
                <w:color w:val="auto"/>
                <w:sz w:val="24"/>
                <w:highlight w:val="none"/>
              </w:rPr>
            </w:pPr>
            <w:r>
              <w:rPr>
                <w:rFonts w:hint="eastAsia" w:ascii="宋体" w:hAnsi="宋体"/>
                <w:bCs w:val="0"/>
                <w:color w:val="auto"/>
                <w:sz w:val="24"/>
                <w:highlight w:val="none"/>
              </w:rPr>
              <w:t>内容、说明与要求</w:t>
            </w:r>
          </w:p>
        </w:tc>
      </w:tr>
      <w:tr w14:paraId="7CB8D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84" w:type="dxa"/>
            <w:vAlign w:val="center"/>
          </w:tcPr>
          <w:p w14:paraId="6B8FB27C">
            <w:pPr>
              <w:pStyle w:val="196"/>
              <w:pBdr>
                <w:bottom w:val="none" w:color="auto" w:sz="0" w:space="0"/>
              </w:pBdr>
              <w:tabs>
                <w:tab w:val="clear" w:pos="4153"/>
                <w:tab w:val="clear" w:pos="8306"/>
              </w:tabs>
              <w:adjustRightInd/>
              <w:spacing w:line="240" w:lineRule="auto"/>
              <w:textAlignment w:val="auto"/>
              <w:rPr>
                <w:rFonts w:hint="eastAsia" w:ascii="宋体" w:hAnsi="宋体"/>
                <w:bCs/>
                <w:color w:val="auto"/>
                <w:kern w:val="2"/>
                <w:highlight w:val="none"/>
              </w:rPr>
            </w:pPr>
            <w:r>
              <w:rPr>
                <w:rFonts w:hint="eastAsia" w:ascii="宋体" w:hAnsi="宋体"/>
                <w:bCs/>
                <w:color w:val="auto"/>
                <w:kern w:val="2"/>
                <w:highlight w:val="none"/>
              </w:rPr>
              <w:t>1</w:t>
            </w:r>
          </w:p>
        </w:tc>
        <w:tc>
          <w:tcPr>
            <w:tcW w:w="2051" w:type="dxa"/>
            <w:vAlign w:val="center"/>
          </w:tcPr>
          <w:p w14:paraId="6C112E0A">
            <w:pPr>
              <w:pStyle w:val="222"/>
              <w:widowControl w:val="0"/>
              <w:spacing w:before="0" w:beforeAutospacing="0" w:after="0" w:afterAutospacing="0" w:line="360" w:lineRule="auto"/>
              <w:rPr>
                <w:rFonts w:hint="eastAsia" w:ascii="宋体" w:hAnsi="宋体"/>
                <w:b w:val="0"/>
                <w:color w:val="auto"/>
                <w:sz w:val="24"/>
                <w:highlight w:val="none"/>
              </w:rPr>
            </w:pPr>
            <w:r>
              <w:rPr>
                <w:rFonts w:hint="eastAsia" w:ascii="宋体" w:hAnsi="宋体"/>
                <w:b w:val="0"/>
                <w:color w:val="auto"/>
                <w:sz w:val="24"/>
                <w:highlight w:val="none"/>
              </w:rPr>
              <w:t>付款方式</w:t>
            </w:r>
          </w:p>
        </w:tc>
        <w:tc>
          <w:tcPr>
            <w:tcW w:w="6383" w:type="dxa"/>
            <w:vAlign w:val="center"/>
          </w:tcPr>
          <w:p w14:paraId="4C07AD92">
            <w:pPr>
              <w:pStyle w:val="222"/>
              <w:widowControl w:val="0"/>
              <w:spacing w:before="0" w:beforeAutospacing="0" w:after="0" w:afterAutospacing="0" w:line="360" w:lineRule="auto"/>
              <w:jc w:val="both"/>
              <w:rPr>
                <w:rFonts w:hint="eastAsia" w:ascii="宋体" w:hAnsi="宋体"/>
                <w:b w:val="0"/>
                <w:color w:val="auto"/>
                <w:sz w:val="24"/>
                <w:highlight w:val="none"/>
                <w:u w:val="single"/>
              </w:rPr>
            </w:pPr>
            <w:r>
              <w:rPr>
                <w:rFonts w:hint="eastAsia" w:ascii="宋体" w:hAnsi="宋体"/>
                <w:b w:val="0"/>
                <w:color w:val="auto"/>
                <w:sz w:val="24"/>
                <w:highlight w:val="none"/>
                <w:u w:val="none"/>
              </w:rPr>
              <w:t>项目成果提交后一次性付清。</w:t>
            </w:r>
          </w:p>
        </w:tc>
      </w:tr>
      <w:tr w14:paraId="0DA6D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84" w:type="dxa"/>
            <w:vAlign w:val="center"/>
          </w:tcPr>
          <w:p w14:paraId="312B1F12">
            <w:pPr>
              <w:pStyle w:val="196"/>
              <w:pBdr>
                <w:bottom w:val="none" w:color="auto" w:sz="0" w:space="0"/>
              </w:pBdr>
              <w:tabs>
                <w:tab w:val="clear" w:pos="4153"/>
                <w:tab w:val="clear" w:pos="8306"/>
              </w:tabs>
              <w:adjustRightInd/>
              <w:spacing w:line="240" w:lineRule="auto"/>
              <w:textAlignment w:val="auto"/>
              <w:rPr>
                <w:rFonts w:hint="eastAsia" w:ascii="宋体" w:hAnsi="宋体"/>
                <w:bCs/>
                <w:color w:val="auto"/>
                <w:kern w:val="2"/>
                <w:highlight w:val="none"/>
              </w:rPr>
            </w:pPr>
            <w:r>
              <w:rPr>
                <w:rFonts w:hint="eastAsia" w:ascii="宋体" w:hAnsi="宋体"/>
                <w:bCs/>
                <w:color w:val="auto"/>
                <w:kern w:val="2"/>
                <w:highlight w:val="none"/>
              </w:rPr>
              <w:t>2</w:t>
            </w:r>
          </w:p>
        </w:tc>
        <w:tc>
          <w:tcPr>
            <w:tcW w:w="2051" w:type="dxa"/>
            <w:vAlign w:val="center"/>
          </w:tcPr>
          <w:p w14:paraId="747D7DA1">
            <w:pPr>
              <w:pStyle w:val="222"/>
              <w:widowControl w:val="0"/>
              <w:spacing w:before="0" w:beforeAutospacing="0" w:after="0" w:afterAutospacing="0" w:line="360" w:lineRule="auto"/>
              <w:rPr>
                <w:rFonts w:hint="eastAsia" w:ascii="宋体" w:hAnsi="宋体"/>
                <w:b w:val="0"/>
                <w:color w:val="auto"/>
                <w:sz w:val="24"/>
                <w:highlight w:val="none"/>
              </w:rPr>
            </w:pPr>
            <w:r>
              <w:rPr>
                <w:rFonts w:hint="eastAsia" w:ascii="宋体" w:hAnsi="宋体"/>
                <w:b w:val="0"/>
                <w:color w:val="auto"/>
                <w:sz w:val="24"/>
                <w:highlight w:val="none"/>
              </w:rPr>
              <w:t>服务地点</w:t>
            </w:r>
          </w:p>
        </w:tc>
        <w:tc>
          <w:tcPr>
            <w:tcW w:w="6383" w:type="dxa"/>
            <w:vAlign w:val="center"/>
          </w:tcPr>
          <w:p w14:paraId="70DCD8E2">
            <w:pPr>
              <w:pStyle w:val="222"/>
              <w:widowControl w:val="0"/>
              <w:spacing w:before="0" w:beforeAutospacing="0" w:after="0" w:afterAutospacing="0" w:line="360" w:lineRule="auto"/>
              <w:jc w:val="both"/>
              <w:rPr>
                <w:rFonts w:hint="eastAsia" w:ascii="宋体" w:hAnsi="宋体"/>
                <w:b w:val="0"/>
                <w:color w:val="auto"/>
                <w:sz w:val="24"/>
                <w:highlight w:val="none"/>
              </w:rPr>
            </w:pPr>
            <w:r>
              <w:rPr>
                <w:rFonts w:hint="eastAsia" w:ascii="宋体" w:hAnsi="宋体"/>
                <w:b w:val="0"/>
                <w:color w:val="auto"/>
                <w:sz w:val="24"/>
                <w:highlight w:val="none"/>
              </w:rPr>
              <w:t xml:space="preserve"> 采购人指定地点</w:t>
            </w:r>
          </w:p>
        </w:tc>
      </w:tr>
      <w:tr w14:paraId="40B3D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84" w:type="dxa"/>
            <w:vAlign w:val="center"/>
          </w:tcPr>
          <w:p w14:paraId="46B4E4AA">
            <w:pPr>
              <w:pStyle w:val="196"/>
              <w:pBdr>
                <w:bottom w:val="none" w:color="auto" w:sz="0" w:space="0"/>
              </w:pBdr>
              <w:tabs>
                <w:tab w:val="clear" w:pos="4153"/>
                <w:tab w:val="clear" w:pos="8306"/>
              </w:tabs>
              <w:adjustRightInd/>
              <w:spacing w:line="240" w:lineRule="auto"/>
              <w:textAlignment w:val="auto"/>
              <w:rPr>
                <w:rFonts w:hint="eastAsia" w:ascii="宋体" w:hAnsi="宋体"/>
                <w:bCs/>
                <w:color w:val="auto"/>
                <w:kern w:val="2"/>
                <w:highlight w:val="none"/>
              </w:rPr>
            </w:pPr>
            <w:r>
              <w:rPr>
                <w:rFonts w:hint="eastAsia" w:ascii="宋体" w:hAnsi="宋体"/>
                <w:bCs/>
                <w:color w:val="auto"/>
                <w:kern w:val="2"/>
                <w:highlight w:val="none"/>
              </w:rPr>
              <w:t>3</w:t>
            </w:r>
          </w:p>
        </w:tc>
        <w:tc>
          <w:tcPr>
            <w:tcW w:w="2051" w:type="dxa"/>
            <w:vAlign w:val="center"/>
          </w:tcPr>
          <w:p w14:paraId="3E38065E">
            <w:pPr>
              <w:pStyle w:val="222"/>
              <w:widowControl w:val="0"/>
              <w:spacing w:before="0" w:beforeAutospacing="0" w:after="0" w:afterAutospacing="0" w:line="360" w:lineRule="auto"/>
              <w:rPr>
                <w:rFonts w:hint="eastAsia" w:ascii="宋体" w:hAnsi="宋体"/>
                <w:b w:val="0"/>
                <w:color w:val="auto"/>
                <w:sz w:val="24"/>
                <w:highlight w:val="none"/>
              </w:rPr>
            </w:pPr>
            <w:r>
              <w:rPr>
                <w:rFonts w:hint="eastAsia" w:ascii="宋体" w:hAnsi="宋体"/>
                <w:b w:val="0"/>
                <w:color w:val="auto"/>
                <w:sz w:val="24"/>
                <w:highlight w:val="none"/>
              </w:rPr>
              <w:t>服务期限</w:t>
            </w:r>
          </w:p>
        </w:tc>
        <w:tc>
          <w:tcPr>
            <w:tcW w:w="6383" w:type="dxa"/>
            <w:vAlign w:val="center"/>
          </w:tcPr>
          <w:p w14:paraId="45937334">
            <w:pPr>
              <w:pStyle w:val="222"/>
              <w:widowControl w:val="0"/>
              <w:spacing w:before="0" w:beforeAutospacing="0" w:after="0" w:afterAutospacing="0" w:line="360" w:lineRule="auto"/>
              <w:jc w:val="both"/>
              <w:rPr>
                <w:rFonts w:hint="eastAsia" w:ascii="宋体" w:hAnsi="宋体"/>
                <w:b w:val="0"/>
                <w:color w:val="auto"/>
                <w:sz w:val="24"/>
                <w:highlight w:val="none"/>
              </w:rPr>
            </w:pPr>
            <w:r>
              <w:rPr>
                <w:rFonts w:hint="eastAsia" w:ascii="宋体" w:hAnsi="宋体"/>
                <w:b w:val="0"/>
                <w:color w:val="auto"/>
                <w:sz w:val="24"/>
                <w:highlight w:val="none"/>
              </w:rPr>
              <w:t>合同签订之日起90日历天完成本项目课题研究。</w:t>
            </w:r>
          </w:p>
        </w:tc>
      </w:tr>
      <w:tr w14:paraId="21754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84" w:type="dxa"/>
            <w:vAlign w:val="center"/>
          </w:tcPr>
          <w:p w14:paraId="5FCC93A4">
            <w:pPr>
              <w:pStyle w:val="196"/>
              <w:pBdr>
                <w:bottom w:val="none" w:color="auto" w:sz="0" w:space="0"/>
              </w:pBdr>
              <w:tabs>
                <w:tab w:val="clear" w:pos="4153"/>
                <w:tab w:val="clear" w:pos="8306"/>
              </w:tabs>
              <w:adjustRightInd/>
              <w:spacing w:line="240" w:lineRule="auto"/>
              <w:textAlignment w:val="auto"/>
              <w:rPr>
                <w:rFonts w:hint="eastAsia" w:ascii="宋体" w:hAnsi="宋体"/>
                <w:bCs/>
                <w:color w:val="auto"/>
                <w:kern w:val="2"/>
                <w:highlight w:val="none"/>
              </w:rPr>
            </w:pPr>
            <w:r>
              <w:rPr>
                <w:rFonts w:hint="eastAsia" w:ascii="宋体" w:hAnsi="宋体"/>
                <w:bCs/>
                <w:color w:val="auto"/>
                <w:kern w:val="2"/>
                <w:highlight w:val="none"/>
              </w:rPr>
              <w:t>4</w:t>
            </w:r>
          </w:p>
        </w:tc>
        <w:tc>
          <w:tcPr>
            <w:tcW w:w="2051" w:type="dxa"/>
            <w:vAlign w:val="center"/>
          </w:tcPr>
          <w:p w14:paraId="37A3283B">
            <w:pPr>
              <w:pStyle w:val="222"/>
              <w:widowControl w:val="0"/>
              <w:spacing w:before="0" w:beforeAutospacing="0" w:after="0" w:afterAutospacing="0" w:line="360" w:lineRule="auto"/>
              <w:rPr>
                <w:rFonts w:hint="eastAsia" w:ascii="宋体" w:hAnsi="宋体"/>
                <w:b w:val="0"/>
                <w:color w:val="auto"/>
                <w:sz w:val="24"/>
                <w:highlight w:val="none"/>
              </w:rPr>
            </w:pPr>
            <w:r>
              <w:rPr>
                <w:rFonts w:hint="eastAsia" w:ascii="宋体" w:hAnsi="宋体"/>
                <w:b w:val="0"/>
                <w:color w:val="auto"/>
                <w:sz w:val="24"/>
                <w:highlight w:val="none"/>
              </w:rPr>
              <w:t>本项目采购标的名称及所属行业</w:t>
            </w:r>
          </w:p>
        </w:tc>
        <w:tc>
          <w:tcPr>
            <w:tcW w:w="6383" w:type="dxa"/>
            <w:vAlign w:val="center"/>
          </w:tcPr>
          <w:p w14:paraId="3C1F6354">
            <w:pPr>
              <w:spacing w:line="360" w:lineRule="auto"/>
              <w:jc w:val="left"/>
              <w:rPr>
                <w:rFonts w:hint="eastAsia" w:ascii="宋体" w:hAnsi="宋体" w:eastAsia="宋体"/>
                <w:color w:val="auto"/>
                <w:sz w:val="24"/>
                <w:highlight w:val="none"/>
                <w:lang w:eastAsia="zh-CN"/>
              </w:rPr>
            </w:pPr>
            <w:r>
              <w:rPr>
                <w:rFonts w:hint="eastAsia" w:ascii="宋体" w:hAnsi="宋体"/>
                <w:color w:val="auto"/>
                <w:sz w:val="24"/>
                <w:highlight w:val="none"/>
              </w:rPr>
              <w:t>标的名称</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eastAsia="zh-CN"/>
              </w:rPr>
              <w:t>池州具身智能产业链实施研究及招商策略</w:t>
            </w:r>
          </w:p>
          <w:p w14:paraId="23183EA6">
            <w:pPr>
              <w:rPr>
                <w:rFonts w:hint="default" w:ascii="宋体" w:hAnsi="宋体" w:eastAsia="宋体"/>
                <w:color w:val="auto"/>
                <w:sz w:val="24"/>
                <w:highlight w:val="none"/>
                <w:u w:val="single"/>
                <w:lang w:val="en-US" w:eastAsia="zh-CN"/>
              </w:rPr>
            </w:pPr>
            <w:r>
              <w:rPr>
                <w:rFonts w:hint="eastAsia" w:ascii="宋体" w:hAnsi="宋体"/>
                <w:color w:val="auto"/>
                <w:sz w:val="24"/>
                <w:highlight w:val="none"/>
              </w:rPr>
              <w:t>所属行业：</w:t>
            </w:r>
            <w:r>
              <w:rPr>
                <w:rFonts w:hint="eastAsia" w:ascii="宋体" w:hAnsi="宋体"/>
                <w:color w:val="auto"/>
                <w:sz w:val="24"/>
                <w:highlight w:val="none"/>
                <w:lang w:val="en-US" w:eastAsia="zh-CN"/>
              </w:rPr>
              <w:t>其他未列明行业</w:t>
            </w:r>
          </w:p>
        </w:tc>
      </w:tr>
      <w:tr w14:paraId="2717C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84" w:type="dxa"/>
            <w:vAlign w:val="center"/>
          </w:tcPr>
          <w:p w14:paraId="4F3B6CC3">
            <w:pPr>
              <w:pStyle w:val="196"/>
              <w:pBdr>
                <w:bottom w:val="none" w:color="auto" w:sz="0" w:space="0"/>
              </w:pBdr>
              <w:tabs>
                <w:tab w:val="clear" w:pos="4153"/>
                <w:tab w:val="clear" w:pos="8306"/>
              </w:tabs>
              <w:adjustRightInd/>
              <w:spacing w:line="240" w:lineRule="auto"/>
              <w:textAlignment w:val="auto"/>
              <w:rPr>
                <w:rFonts w:hint="eastAsia" w:ascii="宋体" w:hAnsi="宋体"/>
                <w:bCs/>
                <w:color w:val="auto"/>
                <w:kern w:val="2"/>
                <w:highlight w:val="none"/>
              </w:rPr>
            </w:pPr>
            <w:r>
              <w:rPr>
                <w:rFonts w:hint="eastAsia" w:ascii="宋体" w:hAnsi="宋体"/>
                <w:bCs/>
                <w:color w:val="auto"/>
                <w:kern w:val="2"/>
                <w:highlight w:val="none"/>
              </w:rPr>
              <w:t>5</w:t>
            </w:r>
          </w:p>
        </w:tc>
        <w:tc>
          <w:tcPr>
            <w:tcW w:w="2051" w:type="dxa"/>
            <w:vAlign w:val="center"/>
          </w:tcPr>
          <w:p w14:paraId="4142A0C4">
            <w:pPr>
              <w:pStyle w:val="222"/>
              <w:widowControl w:val="0"/>
              <w:spacing w:before="0" w:beforeAutospacing="0" w:after="0" w:afterAutospacing="0" w:line="360" w:lineRule="auto"/>
              <w:rPr>
                <w:rFonts w:hint="eastAsia" w:ascii="宋体" w:hAnsi="宋体"/>
                <w:b w:val="0"/>
                <w:color w:val="auto"/>
                <w:sz w:val="24"/>
                <w:highlight w:val="none"/>
              </w:rPr>
            </w:pPr>
            <w:r>
              <w:rPr>
                <w:rFonts w:hint="eastAsia" w:ascii="宋体" w:hAnsi="宋体"/>
                <w:b w:val="0"/>
                <w:color w:val="auto"/>
                <w:sz w:val="24"/>
                <w:highlight w:val="none"/>
              </w:rPr>
              <w:t>服务要求</w:t>
            </w:r>
          </w:p>
        </w:tc>
        <w:tc>
          <w:tcPr>
            <w:tcW w:w="6383" w:type="dxa"/>
            <w:vAlign w:val="center"/>
          </w:tcPr>
          <w:p w14:paraId="06B16B4C">
            <w:pPr>
              <w:pStyle w:val="222"/>
              <w:widowControl w:val="0"/>
              <w:spacing w:before="0" w:beforeAutospacing="0" w:after="0" w:afterAutospacing="0" w:line="360" w:lineRule="auto"/>
              <w:jc w:val="both"/>
              <w:rPr>
                <w:rFonts w:hint="eastAsia" w:ascii="宋体" w:hAnsi="宋体"/>
                <w:b w:val="0"/>
                <w:color w:val="auto"/>
                <w:sz w:val="24"/>
                <w:highlight w:val="none"/>
              </w:rPr>
            </w:pPr>
            <w:r>
              <w:rPr>
                <w:rFonts w:hint="eastAsia" w:ascii="宋体" w:hAnsi="宋体"/>
                <w:b w:val="0"/>
                <w:color w:val="auto"/>
                <w:sz w:val="24"/>
                <w:highlight w:val="none"/>
              </w:rPr>
              <w:t>供应商须保证所有服务质量符合相关法律、法规、现行技术规范和标准要求。</w:t>
            </w:r>
          </w:p>
        </w:tc>
      </w:tr>
    </w:tbl>
    <w:p w14:paraId="2AAB72FC">
      <w:pPr>
        <w:snapToGrid w:val="0"/>
        <w:spacing w:line="460" w:lineRule="exact"/>
        <w:outlineLvl w:val="2"/>
        <w:rPr>
          <w:rFonts w:hint="eastAsia" w:ascii="宋体" w:hAnsi="宋体"/>
          <w:b/>
          <w:color w:val="auto"/>
          <w:sz w:val="28"/>
          <w:szCs w:val="21"/>
          <w:highlight w:val="none"/>
        </w:rPr>
      </w:pPr>
      <w:r>
        <w:rPr>
          <w:rFonts w:hint="eastAsia" w:ascii="宋体" w:hAnsi="宋体"/>
          <w:b/>
          <w:color w:val="auto"/>
          <w:sz w:val="28"/>
          <w:szCs w:val="21"/>
          <w:highlight w:val="none"/>
        </w:rPr>
        <w:t>二、项目概况</w:t>
      </w:r>
    </w:p>
    <w:p w14:paraId="738A62F8">
      <w:pPr>
        <w:spacing w:line="500" w:lineRule="exact"/>
        <w:ind w:firstLine="480" w:firstLineChars="200"/>
        <w:rPr>
          <w:rFonts w:hint="default" w:ascii="宋体" w:hAnsi="宋体" w:eastAsia="宋体" w:cs="Arial"/>
          <w:color w:val="auto"/>
          <w:sz w:val="24"/>
          <w:highlight w:val="none"/>
          <w:lang w:val="en-US" w:eastAsia="zh-CN"/>
        </w:rPr>
      </w:pPr>
      <w:bookmarkStart w:id="17" w:name="OLE_LINK3"/>
      <w:bookmarkStart w:id="18" w:name="OLE_LINK2"/>
      <w:r>
        <w:rPr>
          <w:rFonts w:hint="eastAsia" w:ascii="宋体" w:hAnsi="宋体" w:cs="Arial"/>
          <w:color w:val="auto"/>
          <w:sz w:val="24"/>
          <w:highlight w:val="none"/>
          <w:lang w:val="en-US" w:eastAsia="zh-CN"/>
        </w:rPr>
        <w:t>根据池州</w:t>
      </w:r>
      <w:r>
        <w:rPr>
          <w:rFonts w:hint="eastAsia" w:ascii="宋体" w:hAnsi="宋体" w:eastAsia="宋体" w:cs="宋体"/>
          <w:sz w:val="24"/>
          <w:szCs w:val="24"/>
          <w:highlight w:val="none"/>
          <w:lang w:val="en-US" w:eastAsia="zh-CN"/>
        </w:rPr>
        <w:t>具身智能</w:t>
      </w:r>
      <w:r>
        <w:rPr>
          <w:rFonts w:hint="eastAsia" w:ascii="宋体" w:hAnsi="宋体" w:eastAsia="宋体" w:cs="宋体"/>
          <w:sz w:val="24"/>
          <w:szCs w:val="24"/>
          <w:highlight w:val="none"/>
        </w:rPr>
        <w:t>产业</w:t>
      </w:r>
      <w:r>
        <w:rPr>
          <w:rFonts w:hint="eastAsia" w:ascii="宋体" w:hAnsi="宋体" w:cs="宋体"/>
          <w:sz w:val="24"/>
          <w:szCs w:val="24"/>
          <w:highlight w:val="none"/>
          <w:lang w:val="en-US" w:eastAsia="zh-CN"/>
        </w:rPr>
        <w:t>基础，为池州提供</w:t>
      </w:r>
      <w:r>
        <w:rPr>
          <w:rFonts w:hint="eastAsia" w:ascii="宋体" w:hAnsi="宋体" w:eastAsia="宋体" w:cs="宋体"/>
          <w:sz w:val="24"/>
          <w:szCs w:val="24"/>
          <w:highlight w:val="none"/>
          <w:lang w:val="en-US" w:eastAsia="zh-CN"/>
        </w:rPr>
        <w:t>具身智能</w:t>
      </w:r>
      <w:r>
        <w:rPr>
          <w:rFonts w:hint="eastAsia" w:ascii="宋体" w:hAnsi="宋体" w:eastAsia="宋体" w:cs="宋体"/>
          <w:sz w:val="24"/>
          <w:szCs w:val="24"/>
          <w:highlight w:val="none"/>
        </w:rPr>
        <w:t>产业</w:t>
      </w:r>
      <w:r>
        <w:rPr>
          <w:rFonts w:hint="eastAsia" w:ascii="宋体" w:hAnsi="宋体" w:cs="宋体"/>
          <w:sz w:val="24"/>
          <w:szCs w:val="24"/>
          <w:highlight w:val="none"/>
          <w:lang w:val="en-US" w:eastAsia="zh-CN"/>
        </w:rPr>
        <w:t>招商策略研究并形成产业链图谱</w:t>
      </w:r>
      <w:r>
        <w:rPr>
          <w:rFonts w:hint="eastAsia" w:ascii="宋体" w:hAnsi="宋体" w:cs="Arial"/>
          <w:color w:val="auto"/>
          <w:sz w:val="24"/>
          <w:highlight w:val="none"/>
        </w:rPr>
        <w:t>。</w:t>
      </w:r>
      <w:r>
        <w:rPr>
          <w:rFonts w:hint="eastAsia" w:ascii="宋体" w:hAnsi="宋体" w:cs="Arial"/>
          <w:color w:val="auto"/>
          <w:sz w:val="24"/>
          <w:highlight w:val="none"/>
          <w:lang w:val="en-US" w:eastAsia="zh-CN"/>
        </w:rPr>
        <w:t>先通过竞争性磋商方式选取一家专业咨询公司编制池州</w:t>
      </w:r>
      <w:r>
        <w:rPr>
          <w:rFonts w:hint="eastAsia" w:ascii="宋体" w:hAnsi="宋体" w:eastAsia="宋体" w:cs="宋体"/>
          <w:sz w:val="24"/>
          <w:szCs w:val="24"/>
          <w:highlight w:val="none"/>
          <w:lang w:val="en-US" w:eastAsia="zh-CN"/>
        </w:rPr>
        <w:t>具身智能</w:t>
      </w:r>
      <w:r>
        <w:rPr>
          <w:rFonts w:hint="eastAsia" w:ascii="宋体" w:hAnsi="宋体" w:eastAsia="宋体" w:cs="宋体"/>
          <w:sz w:val="24"/>
          <w:szCs w:val="24"/>
          <w:highlight w:val="none"/>
        </w:rPr>
        <w:t>产业</w:t>
      </w:r>
      <w:r>
        <w:rPr>
          <w:rFonts w:hint="eastAsia" w:ascii="宋体" w:hAnsi="宋体" w:cs="宋体"/>
          <w:color w:val="auto"/>
          <w:kern w:val="0"/>
          <w:sz w:val="24"/>
          <w:highlight w:val="none"/>
          <w:lang w:eastAsia="zh-CN"/>
        </w:rPr>
        <w:t>链实施研究及招商策略</w:t>
      </w:r>
      <w:r>
        <w:rPr>
          <w:rFonts w:hint="eastAsia" w:ascii="宋体" w:hAnsi="宋体" w:cs="宋体"/>
          <w:color w:val="auto"/>
          <w:kern w:val="0"/>
          <w:sz w:val="24"/>
          <w:highlight w:val="none"/>
          <w:lang w:val="en-US" w:eastAsia="zh-CN"/>
        </w:rPr>
        <w:t>研究报告，项目预算金额40万元。</w:t>
      </w:r>
    </w:p>
    <w:p w14:paraId="2201906C">
      <w:pPr>
        <w:snapToGrid w:val="0"/>
        <w:spacing w:line="460" w:lineRule="exact"/>
        <w:outlineLvl w:val="2"/>
        <w:rPr>
          <w:rFonts w:hint="eastAsia" w:ascii="宋体" w:hAnsi="宋体"/>
          <w:b/>
          <w:color w:val="auto"/>
          <w:sz w:val="28"/>
          <w:szCs w:val="21"/>
          <w:highlight w:val="none"/>
        </w:rPr>
      </w:pPr>
      <w:r>
        <w:rPr>
          <w:rFonts w:hint="eastAsia" w:ascii="宋体" w:hAnsi="宋体"/>
          <w:b/>
          <w:color w:val="auto"/>
          <w:sz w:val="28"/>
          <w:szCs w:val="21"/>
          <w:highlight w:val="none"/>
        </w:rPr>
        <w:t>三、服务需求</w:t>
      </w:r>
      <w:bookmarkEnd w:id="17"/>
      <w:bookmarkEnd w:id="18"/>
    </w:p>
    <w:p w14:paraId="32336869">
      <w:pPr>
        <w:spacing w:line="500" w:lineRule="exact"/>
        <w:ind w:firstLine="480" w:firstLineChars="200"/>
        <w:rPr>
          <w:rFonts w:hint="eastAsia" w:ascii="宋体" w:hAnsi="宋体" w:cs="Arial"/>
          <w:color w:val="auto"/>
          <w:sz w:val="24"/>
          <w:highlight w:val="none"/>
        </w:rPr>
      </w:pPr>
      <w:r>
        <w:rPr>
          <w:rFonts w:hint="eastAsia" w:ascii="宋体" w:hAnsi="宋体" w:cs="Arial"/>
          <w:color w:val="auto"/>
          <w:sz w:val="24"/>
          <w:highlight w:val="none"/>
          <w:lang w:val="en-US" w:eastAsia="zh-CN"/>
        </w:rPr>
        <w:t>1.</w:t>
      </w:r>
      <w:r>
        <w:rPr>
          <w:rFonts w:hint="eastAsia" w:ascii="宋体" w:hAnsi="宋体" w:cs="Arial"/>
          <w:color w:val="auto"/>
          <w:sz w:val="24"/>
          <w:highlight w:val="none"/>
        </w:rPr>
        <w:t>服务</w:t>
      </w:r>
      <w:r>
        <w:rPr>
          <w:rFonts w:hint="eastAsia" w:ascii="宋体" w:hAnsi="宋体" w:cs="Arial"/>
          <w:color w:val="auto"/>
          <w:sz w:val="24"/>
          <w:highlight w:val="none"/>
          <w:lang w:val="en-US" w:eastAsia="zh-CN"/>
        </w:rPr>
        <w:t>内容</w:t>
      </w:r>
      <w:r>
        <w:rPr>
          <w:rFonts w:hint="eastAsia" w:ascii="宋体" w:hAnsi="宋体" w:cs="Arial"/>
          <w:color w:val="auto"/>
          <w:sz w:val="24"/>
          <w:highlight w:val="none"/>
        </w:rPr>
        <w:t>：</w:t>
      </w:r>
    </w:p>
    <w:p w14:paraId="5E1066DC">
      <w:pPr>
        <w:pStyle w:val="251"/>
        <w:widowControl w:val="0"/>
        <w:tabs>
          <w:tab w:val="center" w:pos="8364"/>
        </w:tabs>
        <w:adjustRightInd w:val="0"/>
        <w:snapToGrid w:val="0"/>
        <w:spacing w:line="500" w:lineRule="exact"/>
        <w:ind w:right="-57" w:firstLine="567"/>
        <w:jc w:val="both"/>
        <w:rPr>
          <w:rFonts w:hint="eastAsia" w:ascii="宋体" w:hAnsi="宋体" w:eastAsia="宋体" w:cs="宋体"/>
          <w:sz w:val="24"/>
          <w:szCs w:val="24"/>
          <w:lang w:eastAsia="zh-CN"/>
        </w:rPr>
      </w:pPr>
      <w:r>
        <w:rPr>
          <w:rFonts w:hint="eastAsia" w:ascii="宋体" w:hAnsi="宋体" w:eastAsia="宋体" w:cs="宋体"/>
          <w:sz w:val="24"/>
          <w:szCs w:val="24"/>
        </w:rPr>
        <w:t>研究绘制</w:t>
      </w:r>
      <w:r>
        <w:rPr>
          <w:rFonts w:hint="eastAsia" w:ascii="宋体" w:hAnsi="宋体" w:eastAsia="宋体" w:cs="宋体"/>
          <w:sz w:val="24"/>
          <w:szCs w:val="24"/>
          <w:lang w:val="en-US" w:eastAsia="zh-CN"/>
        </w:rPr>
        <w:t>池州具身智能</w:t>
      </w:r>
      <w:r>
        <w:rPr>
          <w:rFonts w:hint="eastAsia" w:ascii="宋体" w:hAnsi="宋体" w:eastAsia="宋体" w:cs="宋体"/>
          <w:sz w:val="24"/>
          <w:szCs w:val="24"/>
        </w:rPr>
        <w:t>产业链图谱，分析评估国内外该产业发展现状与未来趋势，确定产业链高端与技术链高端，对标各产业环节国际国内代表性企业，基于</w:t>
      </w:r>
      <w:r>
        <w:rPr>
          <w:rFonts w:hint="eastAsia" w:ascii="宋体" w:hAnsi="宋体" w:eastAsia="宋体" w:cs="宋体"/>
          <w:sz w:val="24"/>
          <w:szCs w:val="24"/>
          <w:lang w:val="en-US" w:eastAsia="zh-CN"/>
        </w:rPr>
        <w:t>池州具身智能</w:t>
      </w:r>
      <w:r>
        <w:rPr>
          <w:rFonts w:hint="eastAsia" w:ascii="宋体" w:hAnsi="宋体" w:eastAsia="宋体" w:cs="宋体"/>
          <w:sz w:val="24"/>
          <w:szCs w:val="24"/>
        </w:rPr>
        <w:t>产业发展现状及趋势，综合分析国际国内竞争格局等相关影响因素，结合</w:t>
      </w:r>
      <w:r>
        <w:rPr>
          <w:rFonts w:hint="eastAsia" w:ascii="宋体" w:hAnsi="宋体" w:eastAsia="宋体" w:cs="宋体"/>
          <w:sz w:val="24"/>
          <w:szCs w:val="24"/>
          <w:lang w:val="en-US" w:eastAsia="zh-CN"/>
        </w:rPr>
        <w:t>池州具身智能产业</w:t>
      </w:r>
      <w:r>
        <w:rPr>
          <w:rFonts w:hint="eastAsia" w:ascii="宋体" w:hAnsi="宋体" w:eastAsia="宋体" w:cs="宋体"/>
          <w:sz w:val="24"/>
          <w:szCs w:val="24"/>
        </w:rPr>
        <w:t>基础与特点，确定该产业发展定位及产业布局。</w:t>
      </w:r>
    </w:p>
    <w:p w14:paraId="389E3F46">
      <w:pPr>
        <w:pStyle w:val="251"/>
        <w:widowControl w:val="0"/>
        <w:tabs>
          <w:tab w:val="center" w:pos="8364"/>
        </w:tabs>
        <w:adjustRightInd w:val="0"/>
        <w:snapToGrid w:val="0"/>
        <w:spacing w:line="500" w:lineRule="exact"/>
        <w:ind w:right="-57" w:firstLine="567"/>
        <w:jc w:val="both"/>
        <w:rPr>
          <w:rFonts w:hint="eastAsia" w:ascii="宋体" w:hAnsi="宋体" w:eastAsia="宋体" w:cs="宋体"/>
          <w:sz w:val="24"/>
          <w:szCs w:val="24"/>
        </w:rPr>
      </w:pPr>
      <w:r>
        <w:rPr>
          <w:rFonts w:hint="eastAsia" w:ascii="宋体" w:hAnsi="宋体" w:eastAsia="宋体" w:cs="宋体"/>
          <w:sz w:val="24"/>
          <w:szCs w:val="24"/>
          <w:lang w:eastAsia="zh-CN"/>
        </w:rPr>
        <w:t>根据</w:t>
      </w:r>
      <w:r>
        <w:rPr>
          <w:rFonts w:hint="eastAsia" w:ascii="宋体" w:hAnsi="宋体" w:eastAsia="宋体" w:cs="宋体"/>
          <w:sz w:val="24"/>
          <w:szCs w:val="24"/>
          <w:lang w:val="en-US" w:eastAsia="zh-CN"/>
        </w:rPr>
        <w:t>池州具身智能</w:t>
      </w:r>
      <w:r>
        <w:rPr>
          <w:rFonts w:hint="eastAsia" w:ascii="宋体" w:hAnsi="宋体" w:eastAsia="宋体" w:cs="宋体"/>
          <w:sz w:val="24"/>
          <w:szCs w:val="24"/>
          <w:lang w:eastAsia="zh-CN"/>
        </w:rPr>
        <w:t>产业基础，为</w:t>
      </w:r>
      <w:r>
        <w:rPr>
          <w:rFonts w:hint="eastAsia" w:ascii="宋体" w:hAnsi="宋体" w:eastAsia="宋体" w:cs="宋体"/>
          <w:sz w:val="24"/>
          <w:szCs w:val="24"/>
          <w:lang w:val="en-US" w:eastAsia="zh-CN"/>
        </w:rPr>
        <w:t>池州</w:t>
      </w:r>
      <w:r>
        <w:rPr>
          <w:rFonts w:hint="eastAsia" w:ascii="宋体" w:hAnsi="宋体" w:eastAsia="宋体" w:cs="宋体"/>
          <w:sz w:val="24"/>
          <w:szCs w:val="24"/>
          <w:lang w:eastAsia="zh-CN"/>
        </w:rPr>
        <w:t>提供</w:t>
      </w:r>
      <w:r>
        <w:rPr>
          <w:rFonts w:hint="eastAsia" w:ascii="宋体" w:hAnsi="宋体" w:eastAsia="宋体" w:cs="宋体"/>
          <w:sz w:val="24"/>
          <w:szCs w:val="24"/>
          <w:lang w:val="en-US" w:eastAsia="zh-CN"/>
        </w:rPr>
        <w:t>具身智能</w:t>
      </w:r>
      <w:r>
        <w:rPr>
          <w:rFonts w:hint="eastAsia" w:ascii="宋体" w:hAnsi="宋体" w:eastAsia="宋体" w:cs="宋体"/>
          <w:sz w:val="24"/>
          <w:szCs w:val="24"/>
          <w:lang w:eastAsia="zh-CN"/>
        </w:rPr>
        <w:t>产业招商策略研究。紧密结合</w:t>
      </w:r>
      <w:r>
        <w:rPr>
          <w:rFonts w:hint="eastAsia" w:ascii="宋体" w:hAnsi="宋体" w:eastAsia="宋体" w:cs="宋体"/>
          <w:sz w:val="24"/>
          <w:szCs w:val="24"/>
          <w:lang w:val="en-US" w:eastAsia="zh-CN"/>
        </w:rPr>
        <w:t>池州</w:t>
      </w:r>
      <w:r>
        <w:rPr>
          <w:rFonts w:hint="eastAsia" w:ascii="宋体" w:hAnsi="宋体" w:eastAsia="宋体" w:cs="宋体"/>
          <w:sz w:val="24"/>
          <w:szCs w:val="24"/>
          <w:lang w:eastAsia="zh-CN"/>
        </w:rPr>
        <w:t>现有产业基础、发展阶段，周边竞争格局与市场需求，研究分析</w:t>
      </w:r>
      <w:r>
        <w:rPr>
          <w:rFonts w:hint="eastAsia" w:ascii="宋体" w:hAnsi="宋体" w:eastAsia="宋体" w:cs="宋体"/>
          <w:sz w:val="24"/>
          <w:szCs w:val="24"/>
          <w:lang w:val="en-US" w:eastAsia="zh-CN"/>
        </w:rPr>
        <w:t>池州具身智能</w:t>
      </w:r>
      <w:r>
        <w:rPr>
          <w:rFonts w:hint="eastAsia" w:ascii="宋体" w:hAnsi="宋体" w:eastAsia="宋体" w:cs="宋体"/>
          <w:sz w:val="24"/>
          <w:szCs w:val="24"/>
          <w:lang w:eastAsia="zh-CN"/>
        </w:rPr>
        <w:t>产业面临的主要问题，有针对性地提出该产业的发展策略与实施路径，结合产业链价值分布，选定当前应重点发展和积极培育的产业环节，并系统梳理各环节国内代表性企业与建议重点引进的企业目录，提出具体可操作的产业发展建议与招商引资策略。为</w:t>
      </w:r>
      <w:r>
        <w:rPr>
          <w:rFonts w:hint="eastAsia" w:ascii="宋体" w:hAnsi="宋体" w:eastAsia="宋体" w:cs="宋体"/>
          <w:sz w:val="24"/>
          <w:szCs w:val="24"/>
          <w:lang w:val="en-US" w:eastAsia="zh-CN"/>
        </w:rPr>
        <w:t>池州</w:t>
      </w:r>
      <w:r>
        <w:rPr>
          <w:rFonts w:hint="eastAsia" w:ascii="宋体" w:hAnsi="宋体" w:eastAsia="宋体" w:cs="宋体"/>
          <w:sz w:val="24"/>
          <w:szCs w:val="24"/>
          <w:lang w:eastAsia="zh-CN"/>
        </w:rPr>
        <w:t>拓展合作伙伴和市场渠道提供支持和建议。</w:t>
      </w:r>
    </w:p>
    <w:p w14:paraId="5D2F10FE">
      <w:pPr>
        <w:spacing w:line="500" w:lineRule="exact"/>
        <w:ind w:firstLine="480" w:firstLineChars="200"/>
        <w:rPr>
          <w:rFonts w:hint="eastAsia" w:ascii="宋体" w:hAnsi="宋体" w:cs="Arial"/>
          <w:color w:val="auto"/>
          <w:sz w:val="24"/>
          <w:highlight w:val="none"/>
        </w:rPr>
      </w:pPr>
      <w:r>
        <w:rPr>
          <w:rFonts w:hint="eastAsia" w:ascii="宋体" w:hAnsi="宋体" w:cs="Arial"/>
          <w:color w:val="auto"/>
          <w:sz w:val="24"/>
          <w:highlight w:val="none"/>
          <w:lang w:val="en-US" w:eastAsia="zh-CN"/>
        </w:rPr>
        <w:t>2.</w:t>
      </w:r>
      <w:r>
        <w:rPr>
          <w:rFonts w:hint="eastAsia" w:ascii="宋体" w:hAnsi="宋体" w:cs="Arial"/>
          <w:color w:val="auto"/>
          <w:sz w:val="24"/>
          <w:highlight w:val="none"/>
        </w:rPr>
        <w:t>服务成果要求：</w:t>
      </w:r>
    </w:p>
    <w:p w14:paraId="4AF96934">
      <w:pPr>
        <w:pStyle w:val="251"/>
        <w:widowControl w:val="0"/>
        <w:tabs>
          <w:tab w:val="center" w:pos="8364"/>
        </w:tabs>
        <w:adjustRightInd w:val="0"/>
        <w:snapToGrid w:val="0"/>
        <w:spacing w:line="500" w:lineRule="exact"/>
        <w:ind w:right="-57" w:firstLine="567"/>
        <w:jc w:val="both"/>
        <w:rPr>
          <w:rFonts w:hint="eastAsia" w:ascii="宋体" w:hAnsi="宋体" w:eastAsia="宋体" w:cs="宋体"/>
          <w:sz w:val="24"/>
          <w:szCs w:val="24"/>
        </w:rPr>
      </w:pPr>
      <w:r>
        <w:rPr>
          <w:rFonts w:hint="eastAsia" w:ascii="宋体" w:hAnsi="宋体" w:eastAsia="宋体" w:cs="宋体"/>
          <w:sz w:val="24"/>
          <w:szCs w:val="24"/>
          <w:lang w:eastAsia="zh-CN"/>
        </w:rPr>
        <w:t>本项目成果为课题研究报告，</w:t>
      </w:r>
      <w:r>
        <w:rPr>
          <w:rFonts w:hint="eastAsia" w:ascii="宋体" w:hAnsi="宋体" w:eastAsia="宋体" w:cs="宋体"/>
          <w:sz w:val="24"/>
          <w:szCs w:val="24"/>
        </w:rPr>
        <w:t>包含：提供</w:t>
      </w:r>
      <w:r>
        <w:rPr>
          <w:rFonts w:hint="eastAsia" w:ascii="宋体" w:hAnsi="宋体" w:eastAsia="宋体" w:cs="宋体"/>
          <w:sz w:val="24"/>
          <w:szCs w:val="24"/>
          <w:lang w:val="en-US" w:eastAsia="zh-CN"/>
        </w:rPr>
        <w:t>池州市新材料</w:t>
      </w:r>
      <w:r>
        <w:rPr>
          <w:rFonts w:hint="eastAsia" w:ascii="宋体" w:hAnsi="宋体" w:eastAsia="宋体" w:cs="宋体"/>
          <w:sz w:val="24"/>
          <w:szCs w:val="24"/>
        </w:rPr>
        <w:t>产业链图谱及其方案。课题产业链全景图电子版（VISIO、PDF）1份、0号图纸打印大图1份。</w:t>
      </w:r>
    </w:p>
    <w:p w14:paraId="1288D8CE">
      <w:pPr>
        <w:pStyle w:val="251"/>
        <w:widowControl w:val="0"/>
        <w:tabs>
          <w:tab w:val="center" w:pos="8364"/>
        </w:tabs>
        <w:adjustRightInd w:val="0"/>
        <w:snapToGrid w:val="0"/>
        <w:spacing w:line="500" w:lineRule="exact"/>
        <w:ind w:right="-57" w:firstLine="567"/>
        <w:jc w:val="both"/>
        <w:rPr>
          <w:rFonts w:hint="eastAsia" w:ascii="宋体" w:hAnsi="宋体" w:cs="Arial"/>
          <w:color w:val="auto"/>
          <w:sz w:val="24"/>
          <w:highlight w:val="none"/>
        </w:rPr>
      </w:pPr>
      <w:r>
        <w:rPr>
          <w:rFonts w:hint="eastAsia" w:ascii="宋体" w:hAnsi="宋体" w:eastAsia="宋体" w:cs="宋体"/>
          <w:sz w:val="24"/>
          <w:szCs w:val="24"/>
          <w:lang w:val="en-US" w:eastAsia="zh-CN"/>
        </w:rPr>
        <w:t>根据产业链图谱定制</w:t>
      </w:r>
      <w:r>
        <w:rPr>
          <w:rFonts w:hint="eastAsia" w:ascii="宋体" w:hAnsi="宋体" w:eastAsia="宋体" w:cs="宋体"/>
          <w:sz w:val="24"/>
          <w:szCs w:val="24"/>
          <w:lang w:eastAsia="zh-CN"/>
        </w:rPr>
        <w:t>课题研究报告汇报稿电子版1份、纸质版5份</w:t>
      </w:r>
      <w:r>
        <w:rPr>
          <w:rFonts w:hint="eastAsia" w:ascii="宋体" w:hAnsi="宋体" w:eastAsia="宋体" w:cs="宋体"/>
          <w:sz w:val="24"/>
          <w:szCs w:val="24"/>
        </w:rPr>
        <w:t>。</w:t>
      </w:r>
    </w:p>
    <w:p w14:paraId="68CEFEB1">
      <w:pPr>
        <w:snapToGrid w:val="0"/>
        <w:spacing w:line="460" w:lineRule="exact"/>
        <w:outlineLvl w:val="2"/>
        <w:rPr>
          <w:rFonts w:hint="eastAsia" w:ascii="宋体" w:hAnsi="宋体"/>
          <w:b/>
          <w:color w:val="auto"/>
          <w:sz w:val="28"/>
          <w:szCs w:val="21"/>
          <w:highlight w:val="none"/>
        </w:rPr>
      </w:pPr>
      <w:r>
        <w:rPr>
          <w:rFonts w:hint="eastAsia" w:ascii="宋体" w:hAnsi="宋体"/>
          <w:b/>
          <w:color w:val="auto"/>
          <w:sz w:val="28"/>
          <w:szCs w:val="21"/>
          <w:highlight w:val="none"/>
          <w:lang w:val="en-US" w:eastAsia="zh-CN"/>
        </w:rPr>
        <w:t>四</w:t>
      </w:r>
      <w:bookmarkEnd w:id="13"/>
      <w:r>
        <w:rPr>
          <w:rFonts w:hint="eastAsia" w:ascii="宋体" w:hAnsi="宋体"/>
          <w:b/>
          <w:color w:val="auto"/>
          <w:sz w:val="28"/>
          <w:szCs w:val="21"/>
          <w:highlight w:val="none"/>
        </w:rPr>
        <w:t>、报价要求</w:t>
      </w:r>
    </w:p>
    <w:p w14:paraId="785F625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b/>
          <w:bCs w:val="0"/>
          <w:color w:val="000000" w:themeColor="text1"/>
          <w:sz w:val="24"/>
          <w:szCs w:val="18"/>
          <w:highlight w:val="none"/>
          <w:lang w:val="en-US" w:eastAsia="zh-CN"/>
          <w14:textFill>
            <w14:solidFill>
              <w14:schemeClr w14:val="tx1"/>
            </w14:solidFill>
          </w14:textFill>
        </w:rPr>
        <w:t>超过最高限价</w:t>
      </w:r>
      <w:r>
        <w:rPr>
          <w:rFonts w:hint="eastAsia" w:ascii="宋体" w:hAnsi="宋体"/>
          <w:b/>
          <w:bCs w:val="0"/>
          <w:color w:val="000000" w:themeColor="text1"/>
          <w:sz w:val="24"/>
          <w:szCs w:val="18"/>
          <w:highlight w:val="none"/>
          <w:lang w:val="en-US" w:eastAsia="zh-CN"/>
          <w14:textFill>
            <w14:solidFill>
              <w14:schemeClr w14:val="tx1"/>
            </w14:solidFill>
          </w14:textFill>
        </w:rPr>
        <w:t>40万</w:t>
      </w:r>
      <w:r>
        <w:rPr>
          <w:rFonts w:hint="eastAsia" w:ascii="宋体" w:hAnsi="宋体" w:eastAsia="宋体"/>
          <w:b/>
          <w:bCs w:val="0"/>
          <w:color w:val="000000" w:themeColor="text1"/>
          <w:sz w:val="24"/>
          <w:szCs w:val="18"/>
          <w:highlight w:val="none"/>
          <w:lang w:val="en-US" w:eastAsia="zh-CN"/>
          <w14:textFill>
            <w14:solidFill>
              <w14:schemeClr w14:val="tx1"/>
            </w14:solidFill>
          </w14:textFill>
        </w:rPr>
        <w:t>，投标无效。</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的报价是履行合同的最终价格，其组成包括但不限于人员工资、管理费、办公费、设备使用费、交通费、通讯费、税金、利润、劳动保险费、合同工期内的风险费用等为完成本次招投标项目所发生的一切费用。</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w:t>
      </w:r>
      <w:r>
        <w:rPr>
          <w:rFonts w:hint="eastAsia" w:ascii="宋体" w:hAnsi="宋体" w:eastAsia="宋体" w:cs="宋体"/>
          <w:color w:val="000000" w:themeColor="text1"/>
          <w:sz w:val="24"/>
          <w:szCs w:val="24"/>
          <w:highlight w:val="none"/>
          <w14:textFill>
            <w14:solidFill>
              <w14:schemeClr w14:val="tx1"/>
            </w14:solidFill>
          </w14:textFill>
        </w:rPr>
        <w:t>人自行解决员工养老、失业、医疗、工伤、生育等保险及劳保、工资、福利、食宿、员工上下班交通及为完成本项目服务所发生的一切应有费用，</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人不再支付报价以外的任何其他费用。</w:t>
      </w:r>
    </w:p>
    <w:p w14:paraId="68B5084F">
      <w:pPr>
        <w:snapToGrid w:val="0"/>
        <w:spacing w:line="460" w:lineRule="exact"/>
        <w:outlineLvl w:val="2"/>
        <w:rPr>
          <w:rFonts w:hint="eastAsia" w:ascii="宋体" w:hAnsi="宋体"/>
          <w:b/>
          <w:color w:val="auto"/>
          <w:sz w:val="28"/>
          <w:szCs w:val="21"/>
          <w:highlight w:val="none"/>
        </w:rPr>
      </w:pPr>
      <w:r>
        <w:rPr>
          <w:rFonts w:hint="eastAsia" w:ascii="宋体" w:hAnsi="宋体"/>
          <w:b/>
          <w:color w:val="auto"/>
          <w:sz w:val="28"/>
          <w:szCs w:val="21"/>
          <w:highlight w:val="none"/>
          <w:lang w:val="en-US" w:eastAsia="zh-CN"/>
        </w:rPr>
        <w:t>五</w:t>
      </w:r>
      <w:r>
        <w:rPr>
          <w:rFonts w:hint="eastAsia" w:ascii="宋体" w:hAnsi="宋体"/>
          <w:b/>
          <w:color w:val="auto"/>
          <w:sz w:val="28"/>
          <w:szCs w:val="21"/>
          <w:highlight w:val="none"/>
        </w:rPr>
        <w:t>、人员配备要求</w:t>
      </w:r>
    </w:p>
    <w:p w14:paraId="7D8B7367">
      <w:pPr>
        <w:spacing w:line="500" w:lineRule="exact"/>
        <w:ind w:firstLine="480" w:firstLineChars="200"/>
        <w:rPr>
          <w:color w:val="auto"/>
          <w:highlight w:val="none"/>
        </w:rPr>
      </w:pPr>
      <w:r>
        <w:rPr>
          <w:rFonts w:hint="eastAsia" w:ascii="宋体" w:hAnsi="宋体"/>
          <w:color w:val="auto"/>
          <w:sz w:val="24"/>
          <w:szCs w:val="21"/>
          <w:highlight w:val="none"/>
        </w:rPr>
        <w:t>本项目要求配备项目负责人1名</w:t>
      </w:r>
      <w:r>
        <w:rPr>
          <w:rFonts w:hint="eastAsia" w:ascii="宋体" w:hAnsi="宋体"/>
          <w:color w:val="auto"/>
          <w:sz w:val="24"/>
          <w:szCs w:val="21"/>
          <w:highlight w:val="none"/>
          <w:lang w:eastAsia="zh-CN"/>
        </w:rPr>
        <w:t>，</w:t>
      </w:r>
      <w:bookmarkStart w:id="219" w:name="_GoBack"/>
      <w:bookmarkEnd w:id="219"/>
      <w:r>
        <w:rPr>
          <w:rFonts w:hint="eastAsia" w:ascii="宋体" w:hAnsi="宋体"/>
          <w:color w:val="auto"/>
          <w:sz w:val="24"/>
          <w:szCs w:val="21"/>
          <w:highlight w:val="none"/>
          <w:lang w:val="en-US" w:eastAsia="zh-CN"/>
        </w:rPr>
        <w:t>其他人员2人。</w:t>
      </w:r>
    </w:p>
    <w:p w14:paraId="4DD006B6">
      <w:pPr>
        <w:pStyle w:val="207"/>
        <w:pageBreakBefore/>
        <w:spacing w:before="240" w:after="240"/>
        <w:rPr>
          <w:rFonts w:hint="eastAsia"/>
          <w:color w:val="auto"/>
          <w:sz w:val="32"/>
          <w:szCs w:val="32"/>
          <w:highlight w:val="none"/>
        </w:rPr>
      </w:pPr>
      <w:r>
        <w:rPr>
          <w:rFonts w:hint="eastAsia"/>
          <w:color w:val="auto"/>
          <w:sz w:val="32"/>
          <w:szCs w:val="32"/>
          <w:highlight w:val="none"/>
        </w:rPr>
        <w:t>第四章 评标方法和标准</w:t>
      </w:r>
      <w:bookmarkEnd w:id="16"/>
    </w:p>
    <w:p w14:paraId="36725382">
      <w:pPr>
        <w:spacing w:line="360" w:lineRule="auto"/>
        <w:ind w:firstLine="437"/>
        <w:outlineLvl w:val="1"/>
        <w:rPr>
          <w:rFonts w:asciiTheme="minorEastAsia" w:hAnsiTheme="minorEastAsia" w:eastAsiaTheme="minorEastAsia"/>
          <w:b/>
          <w:color w:val="auto"/>
          <w:sz w:val="24"/>
          <w:highlight w:val="none"/>
        </w:rPr>
      </w:pPr>
      <w:bookmarkStart w:id="19" w:name="_Toc21211"/>
      <w:bookmarkStart w:id="20" w:name="_Toc12199"/>
      <w:bookmarkStart w:id="21" w:name="_Toc385427709"/>
      <w:bookmarkStart w:id="22" w:name="_Toc28059"/>
      <w:r>
        <w:rPr>
          <w:rFonts w:hint="eastAsia" w:asciiTheme="minorEastAsia" w:hAnsiTheme="minorEastAsia" w:eastAsiaTheme="minorEastAsia"/>
          <w:b/>
          <w:color w:val="auto"/>
          <w:sz w:val="24"/>
          <w:highlight w:val="none"/>
        </w:rPr>
        <w:t>一、总则</w:t>
      </w:r>
      <w:bookmarkEnd w:id="19"/>
      <w:bookmarkEnd w:id="20"/>
    </w:p>
    <w:p w14:paraId="47BD3122">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本项目将按照磋商文件第二章 供应商须知的相关要求</w:t>
      </w:r>
      <w:r>
        <w:rPr>
          <w:rFonts w:asciiTheme="minorEastAsia" w:hAnsiTheme="minorEastAsia" w:eastAsiaTheme="minorEastAsia"/>
          <w:color w:val="auto"/>
          <w:sz w:val="24"/>
          <w:highlight w:val="none"/>
        </w:rPr>
        <w:t>及本章的规定</w:t>
      </w:r>
      <w:r>
        <w:rPr>
          <w:rFonts w:hint="eastAsia" w:asciiTheme="minorEastAsia" w:hAnsiTheme="minorEastAsia" w:eastAsiaTheme="minorEastAsia"/>
          <w:color w:val="auto"/>
          <w:sz w:val="24"/>
          <w:highlight w:val="none"/>
        </w:rPr>
        <w:t>评审</w:t>
      </w:r>
      <w:r>
        <w:rPr>
          <w:rFonts w:asciiTheme="minorEastAsia" w:hAnsiTheme="minorEastAsia" w:eastAsiaTheme="minorEastAsia"/>
          <w:color w:val="auto"/>
          <w:sz w:val="24"/>
          <w:highlight w:val="none"/>
        </w:rPr>
        <w:t>。</w:t>
      </w:r>
    </w:p>
    <w:p w14:paraId="327F13D4">
      <w:pPr>
        <w:spacing w:line="360" w:lineRule="auto"/>
        <w:ind w:firstLine="437"/>
        <w:outlineLvl w:val="1"/>
        <w:rPr>
          <w:rFonts w:asciiTheme="minorEastAsia" w:hAnsiTheme="minorEastAsia" w:eastAsiaTheme="minorEastAsia"/>
          <w:b/>
          <w:color w:val="auto"/>
          <w:sz w:val="24"/>
          <w:highlight w:val="none"/>
        </w:rPr>
      </w:pPr>
      <w:bookmarkStart w:id="23" w:name="_Toc13039"/>
      <w:bookmarkStart w:id="24" w:name="_Toc16885"/>
      <w:r>
        <w:rPr>
          <w:rFonts w:hint="eastAsia" w:asciiTheme="minorEastAsia" w:hAnsiTheme="minorEastAsia" w:eastAsiaTheme="minorEastAsia"/>
          <w:b/>
          <w:color w:val="auto"/>
          <w:sz w:val="24"/>
          <w:highlight w:val="none"/>
        </w:rPr>
        <w:t>二、评审方法</w:t>
      </w:r>
      <w:bookmarkEnd w:id="23"/>
      <w:bookmarkEnd w:id="24"/>
    </w:p>
    <w:p w14:paraId="1EB2AC62">
      <w:pPr>
        <w:spacing w:line="360" w:lineRule="auto"/>
        <w:ind w:firstLine="435"/>
        <w:outlineLvl w:val="2"/>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2.1初审</w:t>
      </w:r>
    </w:p>
    <w:p w14:paraId="1F4D1E1F">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磋商小组对供应商的响应文件进行初审，以确定其是否满足磋商文件的实质性要求。初审表如下：</w:t>
      </w:r>
    </w:p>
    <w:tbl>
      <w:tblPr>
        <w:tblStyle w:val="77"/>
        <w:tblW w:w="51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750"/>
        <w:gridCol w:w="4833"/>
        <w:gridCol w:w="2009"/>
      </w:tblGrid>
      <w:tr w14:paraId="58450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000" w:type="pct"/>
            <w:gridSpan w:val="4"/>
            <w:tcBorders>
              <w:bottom w:val="single" w:color="auto" w:sz="4" w:space="0"/>
            </w:tcBorders>
            <w:vAlign w:val="center"/>
          </w:tcPr>
          <w:p w14:paraId="33C97EE4">
            <w:pPr>
              <w:adjustRightInd w:val="0"/>
              <w:snapToGrid w:val="0"/>
              <w:spacing w:line="360" w:lineRule="auto"/>
              <w:ind w:right="-10"/>
              <w:jc w:val="center"/>
              <w:rPr>
                <w:rFonts w:ascii="宋体" w:hAnsi="宋体" w:eastAsia="宋体"/>
                <w:color w:val="auto"/>
                <w:sz w:val="24"/>
                <w:highlight w:val="none"/>
              </w:rPr>
            </w:pPr>
            <w:r>
              <w:rPr>
                <w:rFonts w:hint="eastAsia" w:ascii="宋体" w:hAnsi="宋体" w:eastAsia="宋体"/>
                <w:b/>
                <w:color w:val="auto"/>
                <w:sz w:val="24"/>
                <w:szCs w:val="22"/>
                <w:highlight w:val="none"/>
                <w:lang w:val="en-US" w:eastAsia="zh-CN"/>
              </w:rPr>
              <w:t>初审</w:t>
            </w:r>
            <w:r>
              <w:rPr>
                <w:rFonts w:hint="eastAsia" w:ascii="宋体" w:hAnsi="宋体" w:eastAsia="宋体"/>
                <w:b/>
                <w:color w:val="auto"/>
                <w:sz w:val="24"/>
                <w:szCs w:val="22"/>
                <w:highlight w:val="none"/>
              </w:rPr>
              <w:t>表</w:t>
            </w:r>
          </w:p>
        </w:tc>
      </w:tr>
      <w:tr w14:paraId="0D7DB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6" w:type="pct"/>
            <w:tcBorders>
              <w:bottom w:val="single" w:color="auto" w:sz="4" w:space="0"/>
            </w:tcBorders>
            <w:vAlign w:val="center"/>
          </w:tcPr>
          <w:p w14:paraId="5C4632E0">
            <w:pPr>
              <w:adjustRightInd w:val="0"/>
              <w:snapToGrid w:val="0"/>
              <w:spacing w:line="360" w:lineRule="auto"/>
              <w:ind w:right="-10"/>
              <w:jc w:val="center"/>
              <w:rPr>
                <w:rFonts w:ascii="宋体" w:hAnsi="宋体" w:eastAsia="宋体"/>
                <w:color w:val="auto"/>
                <w:sz w:val="24"/>
                <w:highlight w:val="none"/>
              </w:rPr>
            </w:pPr>
            <w:r>
              <w:rPr>
                <w:rFonts w:hint="eastAsia" w:ascii="宋体" w:hAnsi="宋体" w:eastAsia="宋体"/>
                <w:color w:val="auto"/>
                <w:sz w:val="24"/>
                <w:highlight w:val="none"/>
              </w:rPr>
              <w:t>序号</w:t>
            </w:r>
          </w:p>
        </w:tc>
        <w:tc>
          <w:tcPr>
            <w:tcW w:w="942" w:type="pct"/>
            <w:tcBorders>
              <w:bottom w:val="single" w:color="auto" w:sz="4" w:space="0"/>
            </w:tcBorders>
            <w:vAlign w:val="center"/>
          </w:tcPr>
          <w:p w14:paraId="43D7FB49">
            <w:pPr>
              <w:pStyle w:val="196"/>
              <w:pBdr>
                <w:bottom w:val="none" w:color="auto" w:sz="0" w:space="0"/>
              </w:pBdr>
              <w:tabs>
                <w:tab w:val="clear" w:pos="4153"/>
                <w:tab w:val="clear" w:pos="8306"/>
              </w:tabs>
              <w:snapToGrid w:val="0"/>
              <w:spacing w:line="360" w:lineRule="auto"/>
              <w:ind w:right="-10"/>
              <w:textAlignment w:val="auto"/>
              <w:rPr>
                <w:rFonts w:hint="default" w:ascii="宋体" w:hAnsi="宋体" w:eastAsia="宋体"/>
                <w:color w:val="auto"/>
                <w:kern w:val="2"/>
                <w:szCs w:val="24"/>
                <w:highlight w:val="none"/>
                <w:lang w:val="en-US"/>
              </w:rPr>
            </w:pPr>
            <w:r>
              <w:rPr>
                <w:rFonts w:hint="eastAsia" w:ascii="宋体" w:hAnsi="宋体" w:eastAsia="宋体"/>
                <w:color w:val="auto"/>
                <w:kern w:val="2"/>
                <w:szCs w:val="24"/>
                <w:highlight w:val="none"/>
                <w:lang w:val="en-US" w:eastAsia="zh-CN"/>
              </w:rPr>
              <w:t>审查指标</w:t>
            </w:r>
          </w:p>
        </w:tc>
        <w:tc>
          <w:tcPr>
            <w:tcW w:w="2601" w:type="pct"/>
            <w:tcBorders>
              <w:bottom w:val="single" w:color="auto" w:sz="4" w:space="0"/>
            </w:tcBorders>
            <w:vAlign w:val="center"/>
          </w:tcPr>
          <w:p w14:paraId="48A575EA">
            <w:pPr>
              <w:adjustRightInd w:val="0"/>
              <w:snapToGrid w:val="0"/>
              <w:spacing w:line="360" w:lineRule="auto"/>
              <w:ind w:right="-10"/>
              <w:jc w:val="center"/>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审查标准</w:t>
            </w:r>
          </w:p>
        </w:tc>
        <w:tc>
          <w:tcPr>
            <w:tcW w:w="1080" w:type="pct"/>
            <w:tcBorders>
              <w:bottom w:val="single" w:color="auto" w:sz="4" w:space="0"/>
            </w:tcBorders>
            <w:vAlign w:val="center"/>
          </w:tcPr>
          <w:p w14:paraId="120E67ED">
            <w:pPr>
              <w:adjustRightInd w:val="0"/>
              <w:snapToGrid w:val="0"/>
              <w:spacing w:line="360" w:lineRule="auto"/>
              <w:ind w:right="-10"/>
              <w:jc w:val="center"/>
              <w:rPr>
                <w:rFonts w:ascii="宋体" w:hAnsi="宋体" w:eastAsia="宋体"/>
                <w:color w:val="auto"/>
                <w:sz w:val="24"/>
                <w:highlight w:val="none"/>
              </w:rPr>
            </w:pPr>
            <w:r>
              <w:rPr>
                <w:rFonts w:hint="eastAsia" w:ascii="宋体" w:hAnsi="宋体" w:eastAsia="宋体"/>
                <w:color w:val="auto"/>
                <w:sz w:val="24"/>
                <w:highlight w:val="none"/>
              </w:rPr>
              <w:t>格式要求</w:t>
            </w:r>
          </w:p>
        </w:tc>
      </w:tr>
      <w:tr w14:paraId="10532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376" w:type="pct"/>
            <w:tcBorders>
              <w:bottom w:val="single" w:color="auto" w:sz="4" w:space="0"/>
            </w:tcBorders>
            <w:vAlign w:val="center"/>
          </w:tcPr>
          <w:p w14:paraId="0F86F30D">
            <w:pPr>
              <w:adjustRightInd w:val="0"/>
              <w:snapToGrid w:val="0"/>
              <w:spacing w:line="360" w:lineRule="auto"/>
              <w:ind w:right="-10" w:rightChars="0"/>
              <w:jc w:val="center"/>
              <w:rPr>
                <w:rFonts w:ascii="宋体" w:hAnsi="宋体" w:eastAsia="宋体" w:cs="@仿宋_GB2312"/>
                <w:color w:val="auto"/>
                <w:kern w:val="2"/>
                <w:sz w:val="24"/>
                <w:highlight w:val="none"/>
                <w:lang w:val="en-US" w:eastAsia="zh-CN" w:bidi="ar-SA"/>
              </w:rPr>
            </w:pPr>
            <w:r>
              <w:rPr>
                <w:rFonts w:hint="eastAsia" w:ascii="宋体" w:hAnsi="宋体" w:eastAsia="宋体"/>
                <w:color w:val="auto"/>
                <w:sz w:val="24"/>
                <w:highlight w:val="none"/>
              </w:rPr>
              <w:t>1</w:t>
            </w:r>
          </w:p>
        </w:tc>
        <w:tc>
          <w:tcPr>
            <w:tcW w:w="942" w:type="pct"/>
            <w:tcBorders>
              <w:bottom w:val="single" w:color="auto" w:sz="4" w:space="0"/>
            </w:tcBorders>
            <w:vAlign w:val="center"/>
          </w:tcPr>
          <w:p w14:paraId="003D09A2">
            <w:pPr>
              <w:spacing w:after="50" w:line="360" w:lineRule="auto"/>
              <w:ind w:right="-10" w:rightChars="0"/>
              <w:jc w:val="center"/>
              <w:rPr>
                <w:rFonts w:ascii="宋体" w:hAnsi="宋体" w:eastAsia="宋体" w:cs="@仿宋_GB2312"/>
                <w:color w:val="auto"/>
                <w:kern w:val="2"/>
                <w:sz w:val="24"/>
                <w:szCs w:val="28"/>
                <w:highlight w:val="none"/>
                <w:lang w:val="en-US" w:eastAsia="zh-CN" w:bidi="ar-SA"/>
              </w:rPr>
            </w:pPr>
            <w:r>
              <w:rPr>
                <w:rFonts w:ascii="宋体" w:hAnsi="宋体" w:eastAsia="宋体" w:cs="宋体"/>
                <w:spacing w:val="9"/>
                <w:sz w:val="24"/>
                <w:szCs w:val="24"/>
                <w:highlight w:val="none"/>
              </w:rPr>
              <w:t>营业执照等证明</w:t>
            </w:r>
            <w:r>
              <w:rPr>
                <w:rFonts w:ascii="宋体" w:hAnsi="宋体" w:eastAsia="宋体" w:cs="宋体"/>
                <w:spacing w:val="-3"/>
                <w:sz w:val="24"/>
                <w:szCs w:val="24"/>
                <w:highlight w:val="none"/>
              </w:rPr>
              <w:t>文件</w:t>
            </w:r>
          </w:p>
        </w:tc>
        <w:tc>
          <w:tcPr>
            <w:tcW w:w="2601" w:type="pct"/>
            <w:tcBorders>
              <w:bottom w:val="single" w:color="auto" w:sz="4" w:space="0"/>
            </w:tcBorders>
            <w:vAlign w:val="center"/>
          </w:tcPr>
          <w:p w14:paraId="7F8AF7B1">
            <w:pPr>
              <w:spacing w:after="50" w:line="360" w:lineRule="auto"/>
              <w:ind w:right="-10" w:rightChars="0"/>
              <w:jc w:val="left"/>
              <w:rPr>
                <w:rFonts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供应商</w:t>
            </w:r>
            <w:r>
              <w:rPr>
                <w:rFonts w:ascii="宋体" w:hAnsi="宋体" w:eastAsia="宋体" w:cs="宋体"/>
                <w:sz w:val="24"/>
                <w:szCs w:val="24"/>
                <w:highlight w:val="none"/>
              </w:rPr>
              <w:t>为企业（包括合伙企业）的，应</w:t>
            </w:r>
            <w:r>
              <w:rPr>
                <w:rFonts w:hint="eastAsia" w:ascii="宋体" w:hAnsi="宋体" w:eastAsia="宋体" w:cs="宋体"/>
                <w:sz w:val="24"/>
                <w:szCs w:val="24"/>
                <w:highlight w:val="none"/>
                <w:lang w:val="en-US" w:eastAsia="zh-CN"/>
              </w:rPr>
              <w:t>提</w:t>
            </w:r>
            <w:r>
              <w:rPr>
                <w:rFonts w:ascii="宋体" w:hAnsi="宋体" w:eastAsia="宋体" w:cs="宋体"/>
                <w:sz w:val="24"/>
                <w:szCs w:val="24"/>
                <w:highlight w:val="none"/>
              </w:rPr>
              <w:t>供有效的营业执照；</w:t>
            </w:r>
          </w:p>
          <w:p w14:paraId="32993A78">
            <w:pPr>
              <w:spacing w:after="50" w:line="360" w:lineRule="auto"/>
              <w:ind w:right="-10" w:rightChars="0"/>
              <w:jc w:val="left"/>
              <w:rPr>
                <w:rFonts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供应商</w:t>
            </w:r>
            <w:r>
              <w:rPr>
                <w:rFonts w:ascii="宋体" w:hAnsi="宋体" w:eastAsia="宋体" w:cs="宋体"/>
                <w:sz w:val="24"/>
                <w:szCs w:val="24"/>
                <w:highlight w:val="none"/>
              </w:rPr>
              <w:t>为事业单位的，应</w:t>
            </w:r>
            <w:r>
              <w:rPr>
                <w:rFonts w:hint="eastAsia" w:ascii="宋体" w:hAnsi="宋体" w:eastAsia="宋体" w:cs="宋体"/>
                <w:sz w:val="24"/>
                <w:szCs w:val="24"/>
                <w:highlight w:val="none"/>
                <w:lang w:val="en-US" w:eastAsia="zh-CN"/>
              </w:rPr>
              <w:t>提</w:t>
            </w:r>
            <w:r>
              <w:rPr>
                <w:rFonts w:ascii="宋体" w:hAnsi="宋体" w:eastAsia="宋体" w:cs="宋体"/>
                <w:sz w:val="24"/>
                <w:szCs w:val="24"/>
                <w:highlight w:val="none"/>
              </w:rPr>
              <w:t>供有效的事业单位法人证书；</w:t>
            </w:r>
          </w:p>
          <w:p w14:paraId="7D5078C0">
            <w:pPr>
              <w:spacing w:after="50" w:line="360" w:lineRule="auto"/>
              <w:ind w:right="-10" w:rightChars="0"/>
              <w:jc w:val="left"/>
              <w:rPr>
                <w:rFonts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供应商</w:t>
            </w:r>
            <w:r>
              <w:rPr>
                <w:rFonts w:ascii="宋体" w:hAnsi="宋体" w:eastAsia="宋体" w:cs="宋体"/>
                <w:sz w:val="24"/>
                <w:szCs w:val="24"/>
                <w:highlight w:val="none"/>
              </w:rPr>
              <w:t>是非企业机构的，应</w:t>
            </w:r>
            <w:r>
              <w:rPr>
                <w:rFonts w:hint="eastAsia" w:ascii="宋体" w:hAnsi="宋体" w:eastAsia="宋体" w:cs="宋体"/>
                <w:sz w:val="24"/>
                <w:szCs w:val="24"/>
                <w:highlight w:val="none"/>
                <w:lang w:val="en-US" w:eastAsia="zh-CN"/>
              </w:rPr>
              <w:t>提</w:t>
            </w:r>
            <w:r>
              <w:rPr>
                <w:rFonts w:ascii="宋体" w:hAnsi="宋体" w:eastAsia="宋体" w:cs="宋体"/>
                <w:sz w:val="24"/>
                <w:szCs w:val="24"/>
                <w:highlight w:val="none"/>
              </w:rPr>
              <w:t>供有效的执业许可证</w:t>
            </w:r>
            <w:r>
              <w:rPr>
                <w:rFonts w:hint="eastAsia" w:ascii="宋体" w:hAnsi="宋体" w:eastAsia="宋体" w:cs="宋体"/>
                <w:sz w:val="24"/>
                <w:szCs w:val="24"/>
                <w:highlight w:val="none"/>
                <w:lang w:val="en-US" w:eastAsia="zh-CN"/>
              </w:rPr>
              <w:t>或</w:t>
            </w:r>
            <w:r>
              <w:rPr>
                <w:rFonts w:ascii="宋体" w:hAnsi="宋体" w:eastAsia="宋体" w:cs="宋体"/>
                <w:sz w:val="24"/>
                <w:szCs w:val="24"/>
                <w:highlight w:val="none"/>
              </w:rPr>
              <w:t>登记证书等证明文件；</w:t>
            </w:r>
          </w:p>
          <w:p w14:paraId="6CD52A00">
            <w:pPr>
              <w:spacing w:after="50" w:line="360" w:lineRule="auto"/>
              <w:ind w:right="-10" w:rightChars="0"/>
              <w:jc w:val="left"/>
              <w:rPr>
                <w:rFonts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供应商</w:t>
            </w:r>
            <w:r>
              <w:rPr>
                <w:rFonts w:ascii="宋体" w:hAnsi="宋体" w:eastAsia="宋体" w:cs="宋体"/>
                <w:sz w:val="24"/>
                <w:szCs w:val="24"/>
                <w:highlight w:val="none"/>
              </w:rPr>
              <w:t>是个体工商户的，应</w:t>
            </w:r>
            <w:r>
              <w:rPr>
                <w:rFonts w:hint="eastAsia" w:ascii="宋体" w:hAnsi="宋体" w:eastAsia="宋体" w:cs="宋体"/>
                <w:sz w:val="24"/>
                <w:szCs w:val="24"/>
                <w:highlight w:val="none"/>
                <w:lang w:val="en-US" w:eastAsia="zh-CN"/>
              </w:rPr>
              <w:t>提</w:t>
            </w:r>
            <w:r>
              <w:rPr>
                <w:rFonts w:ascii="宋体" w:hAnsi="宋体" w:eastAsia="宋体" w:cs="宋体"/>
                <w:sz w:val="24"/>
                <w:szCs w:val="24"/>
                <w:highlight w:val="none"/>
              </w:rPr>
              <w:t>供有效的个体工商户营业执照；</w:t>
            </w:r>
          </w:p>
          <w:p w14:paraId="7E58AD3E">
            <w:pPr>
              <w:spacing w:after="50" w:line="360" w:lineRule="auto"/>
              <w:ind w:right="-10" w:rightChars="0"/>
              <w:jc w:val="left"/>
              <w:rPr>
                <w:rFonts w:ascii="宋体" w:hAnsi="宋体" w:eastAsia="宋体" w:cs="@仿宋_GB2312"/>
                <w:color w:val="auto"/>
                <w:kern w:val="2"/>
                <w:sz w:val="24"/>
                <w:szCs w:val="28"/>
                <w:highlight w:val="none"/>
                <w:lang w:val="en-US" w:eastAsia="zh-CN" w:bidi="ar-SA"/>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供应商</w:t>
            </w:r>
            <w:r>
              <w:rPr>
                <w:rFonts w:ascii="宋体" w:hAnsi="宋体" w:eastAsia="宋体" w:cs="宋体"/>
                <w:sz w:val="24"/>
                <w:szCs w:val="24"/>
                <w:highlight w:val="none"/>
              </w:rPr>
              <w:t>是自然人的，应</w:t>
            </w:r>
            <w:r>
              <w:rPr>
                <w:rFonts w:hint="eastAsia" w:ascii="宋体" w:hAnsi="宋体" w:eastAsia="宋体" w:cs="宋体"/>
                <w:sz w:val="24"/>
                <w:szCs w:val="24"/>
                <w:highlight w:val="none"/>
                <w:lang w:val="en-US" w:eastAsia="zh-CN"/>
              </w:rPr>
              <w:t>提</w:t>
            </w:r>
            <w:r>
              <w:rPr>
                <w:rFonts w:ascii="宋体" w:hAnsi="宋体" w:eastAsia="宋体" w:cs="宋体"/>
                <w:sz w:val="24"/>
                <w:szCs w:val="24"/>
                <w:highlight w:val="none"/>
              </w:rPr>
              <w:t>供有效的自然人身份证明。</w:t>
            </w:r>
          </w:p>
        </w:tc>
        <w:tc>
          <w:tcPr>
            <w:tcW w:w="1080" w:type="pct"/>
            <w:vAlign w:val="center"/>
          </w:tcPr>
          <w:p w14:paraId="5C3868CE">
            <w:pPr>
              <w:spacing w:line="360" w:lineRule="auto"/>
              <w:jc w:val="left"/>
              <w:rPr>
                <w:rFonts w:ascii="宋体" w:hAnsi="宋体" w:eastAsia="宋体" w:cs="@仿宋_GB2312"/>
                <w:color w:val="auto"/>
                <w:kern w:val="2"/>
                <w:sz w:val="24"/>
                <w:highlight w:val="none"/>
                <w:lang w:val="en-US" w:eastAsia="zh-CN" w:bidi="ar-SA"/>
              </w:rPr>
            </w:pP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材料</w:t>
            </w:r>
            <w:r>
              <w:rPr>
                <w:rFonts w:hint="eastAsia" w:ascii="宋体" w:hAnsi="宋体" w:eastAsia="宋体" w:cs="宋体"/>
                <w:b w:val="0"/>
                <w:bCs w:val="0"/>
                <w:color w:val="auto"/>
                <w:sz w:val="24"/>
                <w:szCs w:val="24"/>
                <w:highlight w:val="none"/>
              </w:rPr>
              <w:t>扫描件</w:t>
            </w:r>
            <w:r>
              <w:rPr>
                <w:rFonts w:hint="eastAsia" w:ascii="宋体" w:hAnsi="宋体" w:eastAsia="宋体" w:cs="宋体"/>
                <w:b w:val="0"/>
                <w:bCs w:val="0"/>
                <w:color w:val="auto"/>
                <w:sz w:val="24"/>
                <w:szCs w:val="24"/>
                <w:highlight w:val="none"/>
                <w:lang w:val="en-US" w:eastAsia="zh-CN"/>
              </w:rPr>
              <w:t>或电子证照</w:t>
            </w:r>
            <w:r>
              <w:rPr>
                <w:rFonts w:hint="eastAsia" w:ascii="宋体" w:hAnsi="宋体" w:eastAsia="宋体" w:cs="宋体"/>
                <w:b w:val="0"/>
                <w:bCs w:val="0"/>
                <w:color w:val="auto"/>
                <w:sz w:val="24"/>
                <w:szCs w:val="24"/>
                <w:highlight w:val="none"/>
              </w:rPr>
              <w:t>，应完整的体现出</w:t>
            </w:r>
            <w:r>
              <w:rPr>
                <w:rFonts w:hint="eastAsia" w:ascii="宋体" w:hAnsi="宋体" w:eastAsia="宋体" w:cs="宋体"/>
                <w:b w:val="0"/>
                <w:bCs w:val="0"/>
                <w:color w:val="auto"/>
                <w:sz w:val="24"/>
                <w:szCs w:val="24"/>
                <w:highlight w:val="none"/>
                <w:lang w:val="en-US" w:eastAsia="zh-CN"/>
              </w:rPr>
              <w:t>材料或电子证照</w:t>
            </w:r>
            <w:r>
              <w:rPr>
                <w:rFonts w:hint="eastAsia" w:ascii="宋体" w:hAnsi="宋体" w:eastAsia="宋体" w:cs="宋体"/>
                <w:b w:val="0"/>
                <w:bCs w:val="0"/>
                <w:color w:val="auto"/>
                <w:sz w:val="24"/>
                <w:szCs w:val="24"/>
                <w:highlight w:val="none"/>
              </w:rPr>
              <w:t>全部内容。联合体</w:t>
            </w:r>
            <w:r>
              <w:rPr>
                <w:rFonts w:hint="eastAsia" w:ascii="宋体" w:hAnsi="宋体" w:eastAsia="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的联合体各方均须提供。</w:t>
            </w:r>
          </w:p>
        </w:tc>
      </w:tr>
      <w:tr w14:paraId="2FA22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376" w:type="pct"/>
            <w:tcBorders>
              <w:bottom w:val="single" w:color="auto" w:sz="4" w:space="0"/>
            </w:tcBorders>
            <w:vAlign w:val="center"/>
          </w:tcPr>
          <w:p w14:paraId="0DDF4C5E">
            <w:pPr>
              <w:adjustRightInd w:val="0"/>
              <w:snapToGrid w:val="0"/>
              <w:spacing w:line="360" w:lineRule="auto"/>
              <w:ind w:right="-10" w:rightChars="0"/>
              <w:jc w:val="center"/>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w:t>
            </w:r>
          </w:p>
        </w:tc>
        <w:tc>
          <w:tcPr>
            <w:tcW w:w="942" w:type="pct"/>
            <w:tcBorders>
              <w:bottom w:val="single" w:color="auto" w:sz="4" w:space="0"/>
            </w:tcBorders>
            <w:vAlign w:val="center"/>
          </w:tcPr>
          <w:p w14:paraId="7ECDF3F6">
            <w:pPr>
              <w:spacing w:after="50" w:line="360" w:lineRule="auto"/>
              <w:ind w:right="-10" w:rightChars="0"/>
              <w:jc w:val="center"/>
              <w:rPr>
                <w:rFonts w:hint="default" w:ascii="宋体" w:hAnsi="宋体" w:eastAsia="宋体"/>
                <w:color w:val="auto"/>
                <w:sz w:val="24"/>
                <w:szCs w:val="28"/>
                <w:highlight w:val="none"/>
                <w:lang w:val="en-US"/>
              </w:rPr>
            </w:pPr>
            <w:r>
              <w:rPr>
                <w:rFonts w:hint="eastAsia" w:ascii="宋体" w:hAnsi="宋体" w:eastAsia="宋体"/>
                <w:color w:val="auto"/>
                <w:sz w:val="24"/>
                <w:szCs w:val="18"/>
                <w:highlight w:val="none"/>
                <w:lang w:val="en-US" w:eastAsia="zh-CN"/>
              </w:rPr>
              <w:t>供应商资格声明书</w:t>
            </w:r>
          </w:p>
        </w:tc>
        <w:tc>
          <w:tcPr>
            <w:tcW w:w="2601" w:type="pct"/>
            <w:tcBorders>
              <w:bottom w:val="single" w:color="auto" w:sz="4" w:space="0"/>
            </w:tcBorders>
            <w:vAlign w:val="center"/>
          </w:tcPr>
          <w:p w14:paraId="179EAEA6">
            <w:pPr>
              <w:spacing w:after="50" w:line="360" w:lineRule="auto"/>
              <w:ind w:right="-10" w:rightChars="0"/>
              <w:jc w:val="left"/>
              <w:rPr>
                <w:rFonts w:hint="eastAsia" w:ascii="宋体" w:hAnsi="宋体" w:eastAsia="宋体"/>
                <w:color w:val="auto"/>
                <w:sz w:val="24"/>
                <w:szCs w:val="28"/>
                <w:highlight w:val="none"/>
              </w:rPr>
            </w:pPr>
            <w:r>
              <w:rPr>
                <w:rFonts w:hint="eastAsia" w:ascii="宋体" w:hAnsi="宋体" w:eastAsia="宋体" w:cs="宋体"/>
                <w:sz w:val="24"/>
                <w:szCs w:val="24"/>
                <w:highlight w:val="none"/>
                <w:lang w:val="en-US" w:eastAsia="zh-CN"/>
              </w:rPr>
              <w:t>提</w:t>
            </w:r>
            <w:r>
              <w:rPr>
                <w:rFonts w:ascii="宋体" w:hAnsi="宋体" w:eastAsia="宋体" w:cs="宋体"/>
                <w:sz w:val="24"/>
                <w:szCs w:val="24"/>
                <w:highlight w:val="none"/>
              </w:rPr>
              <w:t>供符合</w:t>
            </w:r>
            <w:r>
              <w:rPr>
                <w:rFonts w:hint="eastAsia" w:ascii="宋体" w:hAnsi="宋体" w:eastAsia="宋体" w:cs="宋体"/>
                <w:sz w:val="24"/>
                <w:szCs w:val="24"/>
                <w:highlight w:val="none"/>
                <w:lang w:val="en-US" w:eastAsia="zh-CN"/>
              </w:rPr>
              <w:t>磋商</w:t>
            </w:r>
            <w:r>
              <w:rPr>
                <w:rFonts w:ascii="宋体" w:hAnsi="宋体" w:eastAsia="宋体" w:cs="宋体"/>
                <w:sz w:val="24"/>
                <w:szCs w:val="24"/>
                <w:highlight w:val="none"/>
              </w:rPr>
              <w:t>文件要求的《</w:t>
            </w:r>
            <w:r>
              <w:rPr>
                <w:rFonts w:hint="eastAsia" w:ascii="宋体" w:hAnsi="宋体" w:eastAsia="宋体" w:cs="宋体"/>
                <w:sz w:val="24"/>
                <w:szCs w:val="24"/>
                <w:highlight w:val="none"/>
                <w:lang w:val="en-US" w:eastAsia="zh-CN"/>
              </w:rPr>
              <w:t>供应商</w:t>
            </w:r>
            <w:r>
              <w:rPr>
                <w:rFonts w:ascii="宋体" w:hAnsi="宋体" w:eastAsia="宋体" w:cs="宋体"/>
                <w:sz w:val="24"/>
                <w:szCs w:val="24"/>
                <w:highlight w:val="none"/>
              </w:rPr>
              <w:t>资格声明书》</w:t>
            </w:r>
            <w:r>
              <w:rPr>
                <w:rFonts w:hint="eastAsia" w:ascii="宋体" w:hAnsi="宋体" w:eastAsia="宋体" w:cs="宋体"/>
                <w:sz w:val="24"/>
                <w:szCs w:val="24"/>
                <w:highlight w:val="none"/>
                <w:lang w:eastAsia="zh-CN"/>
              </w:rPr>
              <w:t>。</w:t>
            </w:r>
          </w:p>
        </w:tc>
        <w:tc>
          <w:tcPr>
            <w:tcW w:w="1080" w:type="pct"/>
            <w:vAlign w:val="center"/>
          </w:tcPr>
          <w:p w14:paraId="59FFC3AF">
            <w:pPr>
              <w:spacing w:line="360" w:lineRule="auto"/>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olor w:val="auto"/>
                <w:sz w:val="24"/>
                <w:highlight w:val="none"/>
              </w:rPr>
              <w:t>详见第六章</w:t>
            </w:r>
            <w:r>
              <w:rPr>
                <w:rFonts w:hint="eastAsia" w:ascii="宋体" w:hAnsi="宋体" w:eastAsia="宋体"/>
                <w:color w:val="auto"/>
                <w:sz w:val="24"/>
                <w:highlight w:val="none"/>
                <w:lang w:val="en-US" w:eastAsia="zh-CN"/>
              </w:rPr>
              <w:t>响应</w:t>
            </w:r>
            <w:r>
              <w:rPr>
                <w:rFonts w:hint="eastAsia" w:ascii="宋体" w:hAnsi="宋体" w:eastAsia="宋体"/>
                <w:color w:val="auto"/>
                <w:sz w:val="24"/>
                <w:highlight w:val="none"/>
              </w:rPr>
              <w:t>文件格式</w:t>
            </w:r>
            <w:r>
              <w:rPr>
                <w:rFonts w:hint="eastAsia" w:ascii="宋体" w:hAnsi="宋体" w:eastAsia="宋体"/>
                <w:color w:val="auto"/>
                <w:sz w:val="24"/>
                <w:highlight w:val="none"/>
                <w:lang w:eastAsia="zh-CN"/>
              </w:rPr>
              <w:t>。</w:t>
            </w:r>
          </w:p>
        </w:tc>
      </w:tr>
      <w:tr w14:paraId="59F6A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6" w:type="pct"/>
            <w:tcBorders>
              <w:bottom w:val="single" w:color="auto" w:sz="4" w:space="0"/>
            </w:tcBorders>
            <w:vAlign w:val="center"/>
          </w:tcPr>
          <w:p w14:paraId="73785838">
            <w:pPr>
              <w:adjustRightInd w:val="0"/>
              <w:snapToGrid w:val="0"/>
              <w:spacing w:line="360" w:lineRule="auto"/>
              <w:ind w:right="-10" w:rightChars="0"/>
              <w:jc w:val="center"/>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w:t>
            </w:r>
          </w:p>
        </w:tc>
        <w:tc>
          <w:tcPr>
            <w:tcW w:w="942" w:type="pct"/>
            <w:tcBorders>
              <w:bottom w:val="single" w:color="auto" w:sz="4" w:space="0"/>
            </w:tcBorders>
            <w:vAlign w:val="center"/>
          </w:tcPr>
          <w:p w14:paraId="5CCF2E4F">
            <w:pPr>
              <w:spacing w:after="50" w:line="360" w:lineRule="auto"/>
              <w:ind w:right="-10"/>
              <w:jc w:val="both"/>
              <w:rPr>
                <w:rFonts w:hint="eastAsia" w:ascii="宋体" w:hAnsi="宋体" w:eastAsia="宋体" w:cs="宋体"/>
                <w:color w:val="auto"/>
                <w:sz w:val="24"/>
                <w:szCs w:val="24"/>
                <w:highlight w:val="none"/>
              </w:rPr>
            </w:pPr>
            <w:r>
              <w:rPr>
                <w:rFonts w:ascii="宋体" w:hAnsi="宋体" w:eastAsia="宋体" w:cs="宋体"/>
                <w:spacing w:val="10"/>
                <w:sz w:val="24"/>
                <w:szCs w:val="24"/>
                <w:highlight w:val="none"/>
              </w:rPr>
              <w:t>其它落实政府采</w:t>
            </w:r>
            <w:r>
              <w:rPr>
                <w:rFonts w:ascii="宋体" w:hAnsi="宋体" w:eastAsia="宋体" w:cs="宋体"/>
                <w:spacing w:val="11"/>
                <w:sz w:val="24"/>
                <w:szCs w:val="24"/>
                <w:highlight w:val="none"/>
              </w:rPr>
              <w:t>购政策的资格要</w:t>
            </w:r>
            <w:r>
              <w:rPr>
                <w:rFonts w:ascii="宋体" w:hAnsi="宋体" w:eastAsia="宋体" w:cs="宋体"/>
                <w:sz w:val="24"/>
                <w:szCs w:val="24"/>
                <w:highlight w:val="none"/>
              </w:rPr>
              <w:t>求</w:t>
            </w:r>
          </w:p>
        </w:tc>
        <w:tc>
          <w:tcPr>
            <w:tcW w:w="2601" w:type="pct"/>
            <w:tcBorders>
              <w:bottom w:val="single" w:color="auto" w:sz="4" w:space="0"/>
            </w:tcBorders>
            <w:vAlign w:val="center"/>
          </w:tcPr>
          <w:p w14:paraId="5E559B62">
            <w:pPr>
              <w:spacing w:after="50" w:line="360" w:lineRule="auto"/>
              <w:ind w:right="-10"/>
              <w:jc w:val="both"/>
              <w:rPr>
                <w:rFonts w:hint="eastAsia" w:ascii="宋体" w:hAnsi="宋体" w:eastAsia="宋体" w:cs="宋体"/>
                <w:color w:val="auto"/>
                <w:sz w:val="24"/>
                <w:szCs w:val="24"/>
                <w:highlight w:val="none"/>
              </w:rPr>
            </w:pPr>
            <w:r>
              <w:rPr>
                <w:rFonts w:ascii="宋体" w:hAnsi="宋体" w:eastAsia="宋体" w:cs="宋体"/>
                <w:spacing w:val="-2"/>
                <w:sz w:val="24"/>
                <w:szCs w:val="24"/>
                <w:highlight w:val="none"/>
              </w:rPr>
              <w:t>如有，见第一章《</w:t>
            </w:r>
            <w:r>
              <w:rPr>
                <w:rFonts w:hint="eastAsia" w:ascii="宋体" w:hAnsi="宋体" w:eastAsia="宋体" w:cs="宋体"/>
                <w:spacing w:val="-2"/>
                <w:sz w:val="24"/>
                <w:szCs w:val="24"/>
                <w:highlight w:val="none"/>
                <w:lang w:val="en-US" w:eastAsia="zh-CN"/>
              </w:rPr>
              <w:t>磋商</w:t>
            </w:r>
            <w:r>
              <w:rPr>
                <w:rFonts w:ascii="宋体" w:hAnsi="宋体" w:eastAsia="宋体" w:cs="宋体"/>
                <w:spacing w:val="-2"/>
                <w:sz w:val="24"/>
                <w:szCs w:val="24"/>
                <w:highlight w:val="none"/>
              </w:rPr>
              <w:t>邀请》</w:t>
            </w:r>
          </w:p>
        </w:tc>
        <w:tc>
          <w:tcPr>
            <w:tcW w:w="1080" w:type="pct"/>
            <w:tcBorders>
              <w:bottom w:val="single" w:color="auto" w:sz="4" w:space="0"/>
            </w:tcBorders>
            <w:vAlign w:val="center"/>
          </w:tcPr>
          <w:p w14:paraId="4CD27CF1">
            <w:pPr>
              <w:spacing w:after="50" w:line="360" w:lineRule="auto"/>
              <w:ind w:right="-10"/>
              <w:jc w:val="both"/>
              <w:rPr>
                <w:rFonts w:hint="eastAsia" w:ascii="宋体" w:hAnsi="宋体" w:eastAsia="宋体"/>
                <w:color w:val="auto"/>
                <w:sz w:val="24"/>
                <w:highlight w:val="none"/>
              </w:rPr>
            </w:pP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材料</w:t>
            </w:r>
            <w:r>
              <w:rPr>
                <w:rFonts w:hint="eastAsia" w:ascii="宋体" w:hAnsi="宋体" w:eastAsia="宋体" w:cs="宋体"/>
                <w:b w:val="0"/>
                <w:bCs w:val="0"/>
                <w:color w:val="auto"/>
                <w:sz w:val="24"/>
                <w:szCs w:val="24"/>
                <w:highlight w:val="none"/>
              </w:rPr>
              <w:t>扫描件</w:t>
            </w:r>
            <w:r>
              <w:rPr>
                <w:rFonts w:hint="eastAsia" w:ascii="宋体" w:hAnsi="宋体" w:eastAsia="宋体" w:cs="宋体"/>
                <w:b w:val="0"/>
                <w:bCs w:val="0"/>
                <w:color w:val="auto"/>
                <w:sz w:val="24"/>
                <w:szCs w:val="24"/>
                <w:highlight w:val="none"/>
                <w:lang w:val="en-US" w:eastAsia="zh-CN"/>
              </w:rPr>
              <w:t>或电子证照</w:t>
            </w:r>
            <w:r>
              <w:rPr>
                <w:rFonts w:hint="eastAsia" w:ascii="宋体" w:hAnsi="宋体" w:eastAsia="宋体" w:cs="宋体"/>
                <w:b w:val="0"/>
                <w:bCs w:val="0"/>
                <w:color w:val="auto"/>
                <w:sz w:val="24"/>
                <w:szCs w:val="24"/>
                <w:highlight w:val="none"/>
              </w:rPr>
              <w:t>，应完整的体现出</w:t>
            </w:r>
            <w:r>
              <w:rPr>
                <w:rFonts w:hint="eastAsia" w:ascii="宋体" w:hAnsi="宋体" w:eastAsia="宋体" w:cs="宋体"/>
                <w:b w:val="0"/>
                <w:bCs w:val="0"/>
                <w:color w:val="auto"/>
                <w:sz w:val="24"/>
                <w:szCs w:val="24"/>
                <w:highlight w:val="none"/>
                <w:lang w:val="en-US" w:eastAsia="zh-CN"/>
              </w:rPr>
              <w:t>材料或电子证照</w:t>
            </w:r>
            <w:r>
              <w:rPr>
                <w:rFonts w:hint="eastAsia" w:ascii="宋体" w:hAnsi="宋体" w:eastAsia="宋体" w:cs="宋体"/>
                <w:b w:val="0"/>
                <w:bCs w:val="0"/>
                <w:color w:val="auto"/>
                <w:sz w:val="24"/>
                <w:szCs w:val="24"/>
                <w:highlight w:val="none"/>
              </w:rPr>
              <w:t>全部内容。</w:t>
            </w:r>
          </w:p>
        </w:tc>
      </w:tr>
      <w:tr w14:paraId="7D127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6" w:type="pct"/>
            <w:vAlign w:val="center"/>
          </w:tcPr>
          <w:p w14:paraId="0E8FE8C2">
            <w:pPr>
              <w:adjustRightInd w:val="0"/>
              <w:snapToGrid w:val="0"/>
              <w:spacing w:line="360" w:lineRule="auto"/>
              <w:ind w:right="-10" w:rightChars="0"/>
              <w:jc w:val="center"/>
              <w:rPr>
                <w:rFonts w:hint="eastAsia" w:ascii="宋体" w:hAnsi="宋体" w:eastAsia="宋体" w:cs="@仿宋_GB2312"/>
                <w:color w:val="auto"/>
                <w:kern w:val="2"/>
                <w:sz w:val="24"/>
                <w:highlight w:val="none"/>
                <w:lang w:val="en-US" w:eastAsia="zh-CN" w:bidi="ar-SA"/>
              </w:rPr>
            </w:pPr>
            <w:r>
              <w:rPr>
                <w:rFonts w:hint="eastAsia" w:ascii="宋体" w:hAnsi="宋体" w:eastAsia="宋体"/>
                <w:color w:val="auto"/>
                <w:sz w:val="24"/>
                <w:highlight w:val="none"/>
                <w:lang w:val="en-US" w:eastAsia="zh-CN"/>
              </w:rPr>
              <w:t>4</w:t>
            </w:r>
          </w:p>
        </w:tc>
        <w:tc>
          <w:tcPr>
            <w:tcW w:w="942" w:type="pct"/>
            <w:vAlign w:val="center"/>
          </w:tcPr>
          <w:p w14:paraId="757961DC">
            <w:pPr>
              <w:spacing w:after="50" w:line="360" w:lineRule="auto"/>
              <w:ind w:right="-10"/>
              <w:jc w:val="both"/>
              <w:rPr>
                <w:rFonts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eastAsia="zh-CN"/>
              </w:rPr>
              <w:t>本项目的</w:t>
            </w:r>
            <w:r>
              <w:rPr>
                <w:rFonts w:ascii="宋体" w:hAnsi="宋体" w:eastAsia="宋体" w:cs="宋体"/>
                <w:spacing w:val="10"/>
                <w:sz w:val="24"/>
                <w:szCs w:val="24"/>
                <w:highlight w:val="none"/>
              </w:rPr>
              <w:t>特定资格要求</w:t>
            </w:r>
          </w:p>
        </w:tc>
        <w:tc>
          <w:tcPr>
            <w:tcW w:w="2601" w:type="pct"/>
            <w:vAlign w:val="center"/>
          </w:tcPr>
          <w:p w14:paraId="1055C2AA">
            <w:pPr>
              <w:spacing w:after="50" w:line="360" w:lineRule="auto"/>
              <w:ind w:right="-10"/>
              <w:jc w:val="both"/>
              <w:rPr>
                <w:rFonts w:ascii="宋体" w:hAnsi="宋体" w:eastAsia="宋体" w:cs="宋体"/>
                <w:spacing w:val="10"/>
                <w:sz w:val="24"/>
                <w:szCs w:val="24"/>
                <w:highlight w:val="none"/>
              </w:rPr>
            </w:pPr>
            <w:r>
              <w:rPr>
                <w:rFonts w:ascii="宋体" w:hAnsi="宋体" w:eastAsia="宋体" w:cs="宋体"/>
                <w:spacing w:val="10"/>
                <w:sz w:val="24"/>
                <w:szCs w:val="24"/>
                <w:highlight w:val="none"/>
              </w:rPr>
              <w:t>如有，见第一章《</w:t>
            </w:r>
            <w:r>
              <w:rPr>
                <w:rFonts w:hint="eastAsia" w:ascii="宋体" w:hAnsi="宋体" w:eastAsia="宋体" w:cs="宋体"/>
                <w:spacing w:val="10"/>
                <w:sz w:val="24"/>
                <w:szCs w:val="24"/>
                <w:highlight w:val="none"/>
                <w:lang w:val="en-US" w:eastAsia="zh-CN"/>
              </w:rPr>
              <w:t>磋商</w:t>
            </w:r>
            <w:r>
              <w:rPr>
                <w:rFonts w:ascii="宋体" w:hAnsi="宋体" w:eastAsia="宋体" w:cs="宋体"/>
                <w:spacing w:val="10"/>
                <w:sz w:val="24"/>
                <w:szCs w:val="24"/>
                <w:highlight w:val="none"/>
              </w:rPr>
              <w:t>邀请》</w:t>
            </w:r>
          </w:p>
        </w:tc>
        <w:tc>
          <w:tcPr>
            <w:tcW w:w="1080" w:type="pct"/>
            <w:vAlign w:val="center"/>
          </w:tcPr>
          <w:p w14:paraId="709DD7D7">
            <w:pPr>
              <w:spacing w:after="50" w:line="360" w:lineRule="auto"/>
              <w:ind w:right="-10"/>
              <w:jc w:val="both"/>
              <w:rPr>
                <w:rFonts w:ascii="宋体" w:hAnsi="宋体" w:eastAsia="宋体" w:cs="宋体"/>
                <w:spacing w:val="10"/>
                <w:sz w:val="24"/>
                <w:szCs w:val="24"/>
                <w:highlight w:val="none"/>
              </w:rPr>
            </w:pP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材料</w:t>
            </w:r>
            <w:r>
              <w:rPr>
                <w:rFonts w:hint="eastAsia" w:ascii="宋体" w:hAnsi="宋体" w:eastAsia="宋体" w:cs="宋体"/>
                <w:b w:val="0"/>
                <w:bCs w:val="0"/>
                <w:color w:val="auto"/>
                <w:sz w:val="24"/>
                <w:szCs w:val="24"/>
                <w:highlight w:val="none"/>
              </w:rPr>
              <w:t>扫描件</w:t>
            </w:r>
            <w:r>
              <w:rPr>
                <w:rFonts w:hint="eastAsia" w:ascii="宋体" w:hAnsi="宋体" w:eastAsia="宋体" w:cs="宋体"/>
                <w:b w:val="0"/>
                <w:bCs w:val="0"/>
                <w:color w:val="auto"/>
                <w:sz w:val="24"/>
                <w:szCs w:val="24"/>
                <w:highlight w:val="none"/>
                <w:lang w:val="en-US" w:eastAsia="zh-CN"/>
              </w:rPr>
              <w:t>或电子证照</w:t>
            </w:r>
            <w:r>
              <w:rPr>
                <w:rFonts w:hint="eastAsia" w:ascii="宋体" w:hAnsi="宋体" w:eastAsia="宋体" w:cs="宋体"/>
                <w:b w:val="0"/>
                <w:bCs w:val="0"/>
                <w:color w:val="auto"/>
                <w:sz w:val="24"/>
                <w:szCs w:val="24"/>
                <w:highlight w:val="none"/>
              </w:rPr>
              <w:t>，应完整的体现出</w:t>
            </w:r>
            <w:r>
              <w:rPr>
                <w:rFonts w:hint="eastAsia" w:ascii="宋体" w:hAnsi="宋体" w:eastAsia="宋体" w:cs="宋体"/>
                <w:b w:val="0"/>
                <w:bCs w:val="0"/>
                <w:color w:val="auto"/>
                <w:sz w:val="24"/>
                <w:szCs w:val="24"/>
                <w:highlight w:val="none"/>
                <w:lang w:val="en-US" w:eastAsia="zh-CN"/>
              </w:rPr>
              <w:t>材料或电子证照</w:t>
            </w:r>
            <w:r>
              <w:rPr>
                <w:rFonts w:hint="eastAsia" w:ascii="宋体" w:hAnsi="宋体" w:eastAsia="宋体" w:cs="宋体"/>
                <w:b w:val="0"/>
                <w:bCs w:val="0"/>
                <w:color w:val="auto"/>
                <w:sz w:val="24"/>
                <w:szCs w:val="24"/>
                <w:highlight w:val="none"/>
              </w:rPr>
              <w:t>全部内容。</w:t>
            </w:r>
          </w:p>
        </w:tc>
      </w:tr>
      <w:tr w14:paraId="3EE19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6" w:type="pct"/>
            <w:vAlign w:val="center"/>
          </w:tcPr>
          <w:p w14:paraId="27EFBD54">
            <w:pPr>
              <w:adjustRightInd w:val="0"/>
              <w:snapToGrid w:val="0"/>
              <w:spacing w:line="360" w:lineRule="auto"/>
              <w:ind w:right="-10" w:rightChars="0"/>
              <w:jc w:val="center"/>
              <w:rPr>
                <w:rFonts w:hint="default"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5</w:t>
            </w:r>
          </w:p>
        </w:tc>
        <w:tc>
          <w:tcPr>
            <w:tcW w:w="942" w:type="pct"/>
            <w:vAlign w:val="center"/>
          </w:tcPr>
          <w:p w14:paraId="36E6BC98">
            <w:pPr>
              <w:spacing w:after="50" w:line="360" w:lineRule="auto"/>
              <w:ind w:right="-10" w:rightChars="0"/>
              <w:jc w:val="center"/>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lang w:val="en-US" w:eastAsia="zh-CN"/>
              </w:rPr>
              <w:t>磋商响应函</w:t>
            </w:r>
          </w:p>
        </w:tc>
        <w:tc>
          <w:tcPr>
            <w:tcW w:w="2601" w:type="pct"/>
            <w:vAlign w:val="center"/>
          </w:tcPr>
          <w:p w14:paraId="7C0392B7">
            <w:pPr>
              <w:spacing w:after="50" w:line="360" w:lineRule="auto"/>
              <w:ind w:right="-10" w:rightChars="0"/>
              <w:jc w:val="center"/>
              <w:rPr>
                <w:rFonts w:hint="eastAsia" w:asciiTheme="minorEastAsia" w:hAnsiTheme="minorEastAsia" w:eastAsiaTheme="minorEastAsia"/>
                <w:color w:val="auto"/>
                <w:sz w:val="24"/>
                <w:szCs w:val="28"/>
                <w:highlight w:val="none"/>
                <w:lang w:eastAsia="zh-CN"/>
              </w:rPr>
            </w:pPr>
            <w:r>
              <w:rPr>
                <w:rFonts w:hint="eastAsia" w:asciiTheme="minorEastAsia" w:hAnsiTheme="minorEastAsia" w:eastAsiaTheme="minorEastAsia"/>
                <w:color w:val="auto"/>
                <w:sz w:val="24"/>
                <w:szCs w:val="28"/>
                <w:highlight w:val="none"/>
              </w:rPr>
              <w:t>格式、填写要求符合</w:t>
            </w:r>
            <w:r>
              <w:rPr>
                <w:rFonts w:hint="eastAsia" w:asciiTheme="minorEastAsia" w:hAnsiTheme="minorEastAsia" w:eastAsiaTheme="minorEastAsia"/>
                <w:color w:val="auto"/>
                <w:sz w:val="24"/>
                <w:szCs w:val="28"/>
                <w:highlight w:val="none"/>
                <w:lang w:val="en-US" w:eastAsia="zh-CN"/>
              </w:rPr>
              <w:t>磋商</w:t>
            </w:r>
            <w:r>
              <w:rPr>
                <w:rFonts w:hint="eastAsia" w:asciiTheme="minorEastAsia" w:hAnsiTheme="minorEastAsia" w:eastAsiaTheme="minorEastAsia"/>
                <w:color w:val="auto"/>
                <w:sz w:val="24"/>
                <w:szCs w:val="28"/>
                <w:highlight w:val="none"/>
              </w:rPr>
              <w:t>文件规定并加盖</w:t>
            </w:r>
            <w:r>
              <w:rPr>
                <w:rFonts w:hint="eastAsia" w:asciiTheme="minorEastAsia" w:hAnsiTheme="minorEastAsia" w:eastAsiaTheme="minorEastAsia"/>
                <w:color w:val="auto"/>
                <w:sz w:val="24"/>
                <w:szCs w:val="28"/>
                <w:highlight w:val="none"/>
                <w:lang w:val="en-US" w:eastAsia="zh-CN"/>
              </w:rPr>
              <w:t>供应商</w:t>
            </w:r>
            <w:r>
              <w:rPr>
                <w:rFonts w:hint="eastAsia" w:asciiTheme="minorEastAsia" w:hAnsiTheme="minorEastAsia" w:eastAsiaTheme="minorEastAsia"/>
                <w:color w:val="auto"/>
                <w:sz w:val="24"/>
                <w:szCs w:val="28"/>
                <w:highlight w:val="none"/>
                <w:lang w:eastAsia="zh-CN"/>
              </w:rPr>
              <w:t>公章</w:t>
            </w:r>
          </w:p>
        </w:tc>
        <w:tc>
          <w:tcPr>
            <w:tcW w:w="1080" w:type="pct"/>
            <w:vAlign w:val="center"/>
          </w:tcPr>
          <w:p w14:paraId="71F494ED">
            <w:pPr>
              <w:adjustRightInd w:val="0"/>
              <w:snapToGrid w:val="0"/>
              <w:spacing w:line="360" w:lineRule="auto"/>
              <w:ind w:right="-10" w:rightChars="0"/>
              <w:jc w:val="center"/>
              <w:rPr>
                <w:rFonts w:hint="eastAsia" w:asciiTheme="minorEastAsia" w:hAnsiTheme="minorEastAsia" w:eastAsiaTheme="minorEastAsia"/>
                <w:color w:val="auto"/>
                <w:sz w:val="24"/>
                <w:highlight w:val="none"/>
              </w:rPr>
            </w:pPr>
            <w:r>
              <w:rPr>
                <w:rFonts w:hint="eastAsia" w:ascii="宋体" w:hAnsi="宋体" w:eastAsia="宋体"/>
                <w:color w:val="auto"/>
                <w:sz w:val="24"/>
                <w:highlight w:val="none"/>
              </w:rPr>
              <w:t>详见第六章</w:t>
            </w:r>
            <w:r>
              <w:rPr>
                <w:rFonts w:hint="eastAsia" w:ascii="宋体" w:hAnsi="宋体" w:eastAsia="宋体"/>
                <w:color w:val="auto"/>
                <w:sz w:val="24"/>
                <w:highlight w:val="none"/>
                <w:lang w:val="en-US" w:eastAsia="zh-CN"/>
              </w:rPr>
              <w:t>响应</w:t>
            </w:r>
            <w:r>
              <w:rPr>
                <w:rFonts w:hint="eastAsia" w:ascii="宋体" w:hAnsi="宋体" w:eastAsia="宋体"/>
                <w:color w:val="auto"/>
                <w:sz w:val="24"/>
                <w:highlight w:val="none"/>
              </w:rPr>
              <w:t>文件格式</w:t>
            </w:r>
            <w:r>
              <w:rPr>
                <w:rFonts w:hint="eastAsia" w:ascii="宋体" w:hAnsi="宋体" w:eastAsia="宋体"/>
                <w:color w:val="auto"/>
                <w:sz w:val="24"/>
                <w:highlight w:val="none"/>
                <w:lang w:eastAsia="zh-CN"/>
              </w:rPr>
              <w:t>。</w:t>
            </w:r>
          </w:p>
        </w:tc>
      </w:tr>
      <w:tr w14:paraId="5C607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6" w:type="pct"/>
            <w:vAlign w:val="center"/>
          </w:tcPr>
          <w:p w14:paraId="3BF9DEAC">
            <w:pPr>
              <w:adjustRightInd w:val="0"/>
              <w:snapToGrid w:val="0"/>
              <w:spacing w:line="360" w:lineRule="auto"/>
              <w:ind w:right="-10" w:rightChars="0"/>
              <w:jc w:val="center"/>
              <w:rPr>
                <w:rFonts w:hint="default" w:ascii="宋体" w:hAnsi="宋体" w:eastAsia="宋体"/>
                <w:color w:val="auto"/>
                <w:sz w:val="24"/>
                <w:highlight w:val="none"/>
                <w:lang w:val="en-US" w:eastAsia="zh-CN"/>
              </w:rPr>
            </w:pPr>
            <w:r>
              <w:rPr>
                <w:rFonts w:hint="eastAsia" w:asciiTheme="minorEastAsia" w:hAnsiTheme="minorEastAsia" w:eastAsiaTheme="minorEastAsia"/>
                <w:color w:val="auto"/>
                <w:sz w:val="24"/>
                <w:highlight w:val="none"/>
                <w:lang w:val="en-US" w:eastAsia="zh-CN"/>
              </w:rPr>
              <w:t>6</w:t>
            </w:r>
          </w:p>
        </w:tc>
        <w:tc>
          <w:tcPr>
            <w:tcW w:w="942" w:type="pct"/>
            <w:vAlign w:val="center"/>
          </w:tcPr>
          <w:p w14:paraId="494F8376">
            <w:pPr>
              <w:spacing w:after="50" w:line="360" w:lineRule="auto"/>
              <w:ind w:right="-10" w:rightChars="0"/>
              <w:jc w:val="center"/>
              <w:rPr>
                <w:rFonts w:ascii="宋体" w:hAnsi="宋体" w:eastAsia="宋体" w:cs="宋体"/>
                <w:spacing w:val="10"/>
                <w:sz w:val="24"/>
                <w:szCs w:val="24"/>
                <w:highlight w:val="none"/>
              </w:rPr>
            </w:pPr>
            <w:r>
              <w:rPr>
                <w:rFonts w:hint="eastAsia" w:asciiTheme="minorEastAsia" w:hAnsiTheme="minorEastAsia" w:eastAsiaTheme="minorEastAsia"/>
                <w:color w:val="auto"/>
                <w:sz w:val="24"/>
                <w:szCs w:val="28"/>
                <w:highlight w:val="none"/>
              </w:rPr>
              <w:t>授权书</w:t>
            </w:r>
          </w:p>
        </w:tc>
        <w:tc>
          <w:tcPr>
            <w:tcW w:w="2601" w:type="pct"/>
            <w:vAlign w:val="center"/>
          </w:tcPr>
          <w:p w14:paraId="1EC634C6">
            <w:pPr>
              <w:spacing w:after="50" w:line="360" w:lineRule="auto"/>
              <w:ind w:right="-10" w:rightChars="0"/>
              <w:jc w:val="center"/>
              <w:rPr>
                <w:rFonts w:hint="eastAsia" w:ascii="宋体" w:hAnsi="宋体" w:cs="宋体" w:eastAsiaTheme="minorEastAsia"/>
                <w:spacing w:val="10"/>
                <w:sz w:val="24"/>
                <w:szCs w:val="24"/>
                <w:highlight w:val="none"/>
                <w:lang w:eastAsia="zh-CN"/>
              </w:rPr>
            </w:pPr>
            <w:r>
              <w:rPr>
                <w:rFonts w:hint="eastAsia" w:asciiTheme="minorEastAsia" w:hAnsiTheme="minorEastAsia" w:eastAsiaTheme="minorEastAsia"/>
                <w:color w:val="auto"/>
                <w:sz w:val="24"/>
                <w:szCs w:val="28"/>
                <w:highlight w:val="none"/>
              </w:rPr>
              <w:t>格式、填写要求符合</w:t>
            </w:r>
            <w:r>
              <w:rPr>
                <w:rFonts w:hint="eastAsia" w:ascii="宋体" w:hAnsi="宋体" w:eastAsia="宋体" w:cs="宋体"/>
                <w:spacing w:val="10"/>
                <w:sz w:val="24"/>
                <w:szCs w:val="24"/>
                <w:highlight w:val="none"/>
                <w:lang w:val="en-US" w:eastAsia="zh-CN"/>
              </w:rPr>
              <w:t>磋商</w:t>
            </w:r>
            <w:r>
              <w:rPr>
                <w:rFonts w:hint="eastAsia" w:asciiTheme="minorEastAsia" w:hAnsiTheme="minorEastAsia" w:eastAsiaTheme="minorEastAsia"/>
                <w:color w:val="auto"/>
                <w:sz w:val="24"/>
                <w:szCs w:val="28"/>
                <w:highlight w:val="none"/>
              </w:rPr>
              <w:t>文件规定并加盖</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szCs w:val="28"/>
                <w:highlight w:val="none"/>
                <w:lang w:eastAsia="zh-CN"/>
              </w:rPr>
              <w:t>公章</w:t>
            </w:r>
          </w:p>
        </w:tc>
        <w:tc>
          <w:tcPr>
            <w:tcW w:w="1080" w:type="pct"/>
            <w:vAlign w:val="center"/>
          </w:tcPr>
          <w:p w14:paraId="2AFE3EE0">
            <w:pPr>
              <w:adjustRightInd w:val="0"/>
              <w:snapToGrid w:val="0"/>
              <w:spacing w:line="360" w:lineRule="auto"/>
              <w:ind w:right="-10" w:rightChars="0"/>
              <w:jc w:val="center"/>
              <w:rPr>
                <w:rFonts w:hint="eastAsia" w:ascii="宋体" w:hAnsi="宋体" w:eastAsia="宋体" w:cs="宋体"/>
                <w:b w:val="0"/>
                <w:bCs w:val="0"/>
                <w:color w:val="auto"/>
                <w:sz w:val="24"/>
                <w:szCs w:val="24"/>
                <w:highlight w:val="none"/>
              </w:rPr>
            </w:pPr>
            <w:r>
              <w:rPr>
                <w:rFonts w:hint="eastAsia" w:asciiTheme="minorEastAsia" w:hAnsiTheme="minorEastAsia" w:eastAsiaTheme="minorEastAsia"/>
                <w:color w:val="auto"/>
                <w:sz w:val="24"/>
                <w:highlight w:val="none"/>
              </w:rPr>
              <w:t>法定代表人参加</w:t>
            </w:r>
            <w:r>
              <w:rPr>
                <w:rFonts w:hint="eastAsia" w:asciiTheme="minorEastAsia" w:hAnsiTheme="minorEastAsia" w:eastAsiaTheme="minorEastAsia"/>
                <w:color w:val="auto"/>
                <w:sz w:val="24"/>
                <w:highlight w:val="none"/>
                <w:lang w:val="en-US" w:eastAsia="zh-CN"/>
              </w:rPr>
              <w:t>磋商</w:t>
            </w:r>
            <w:r>
              <w:rPr>
                <w:rFonts w:hint="eastAsia" w:asciiTheme="minorEastAsia" w:hAnsiTheme="minorEastAsia" w:eastAsiaTheme="minorEastAsia"/>
                <w:color w:val="auto"/>
                <w:sz w:val="24"/>
                <w:highlight w:val="none"/>
              </w:rPr>
              <w:t>的无需此件，提供身份证明即可。详见第六章</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rPr>
              <w:t>文件格式</w:t>
            </w:r>
            <w:r>
              <w:rPr>
                <w:rFonts w:hint="eastAsia" w:asciiTheme="minorEastAsia" w:hAnsiTheme="minorEastAsia" w:eastAsiaTheme="minorEastAsia"/>
                <w:color w:val="auto"/>
                <w:sz w:val="24"/>
                <w:highlight w:val="none"/>
                <w:lang w:eastAsia="zh-CN"/>
              </w:rPr>
              <w:t>。</w:t>
            </w:r>
          </w:p>
        </w:tc>
      </w:tr>
      <w:tr w14:paraId="67CCA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6" w:type="pct"/>
            <w:vAlign w:val="center"/>
          </w:tcPr>
          <w:p w14:paraId="2A77BA69">
            <w:pPr>
              <w:adjustRightInd w:val="0"/>
              <w:snapToGrid w:val="0"/>
              <w:spacing w:line="360" w:lineRule="auto"/>
              <w:ind w:right="-10" w:rightChars="0"/>
              <w:jc w:val="center"/>
              <w:rPr>
                <w:rFonts w:hint="default" w:ascii="宋体" w:hAnsi="宋体" w:eastAsia="宋体"/>
                <w:color w:val="auto"/>
                <w:sz w:val="24"/>
                <w:highlight w:val="none"/>
                <w:lang w:val="en-US" w:eastAsia="zh-CN"/>
              </w:rPr>
            </w:pPr>
            <w:r>
              <w:rPr>
                <w:rFonts w:hint="eastAsia" w:asciiTheme="minorEastAsia" w:hAnsiTheme="minorEastAsia" w:eastAsiaTheme="minorEastAsia"/>
                <w:color w:val="auto"/>
                <w:sz w:val="24"/>
                <w:highlight w:val="none"/>
                <w:lang w:val="en-US" w:eastAsia="zh-CN"/>
              </w:rPr>
              <w:t>7</w:t>
            </w:r>
          </w:p>
        </w:tc>
        <w:tc>
          <w:tcPr>
            <w:tcW w:w="942" w:type="pct"/>
            <w:vAlign w:val="center"/>
          </w:tcPr>
          <w:p w14:paraId="6B9FCD7F">
            <w:pPr>
              <w:spacing w:after="50" w:line="360" w:lineRule="auto"/>
              <w:ind w:right="-10" w:rightChars="0"/>
              <w:jc w:val="center"/>
              <w:rPr>
                <w:rFonts w:ascii="宋体" w:hAnsi="宋体" w:eastAsia="宋体" w:cs="宋体"/>
                <w:spacing w:val="10"/>
                <w:sz w:val="24"/>
                <w:szCs w:val="24"/>
                <w:highlight w:val="none"/>
              </w:rPr>
            </w:pPr>
            <w:r>
              <w:rPr>
                <w:rFonts w:hint="eastAsia" w:asciiTheme="minorEastAsia" w:hAnsiTheme="minorEastAsia" w:eastAsiaTheme="minorEastAsia"/>
                <w:color w:val="auto"/>
                <w:sz w:val="24"/>
                <w:szCs w:val="28"/>
                <w:highlight w:val="none"/>
                <w:lang w:val="en-US" w:eastAsia="zh-CN"/>
              </w:rPr>
              <w:t>磋商</w:t>
            </w:r>
            <w:r>
              <w:rPr>
                <w:rFonts w:hint="eastAsia" w:asciiTheme="minorEastAsia" w:hAnsiTheme="minorEastAsia" w:eastAsiaTheme="minorEastAsia"/>
                <w:color w:val="auto"/>
                <w:sz w:val="24"/>
                <w:szCs w:val="28"/>
                <w:highlight w:val="none"/>
              </w:rPr>
              <w:t>报价</w:t>
            </w:r>
          </w:p>
        </w:tc>
        <w:tc>
          <w:tcPr>
            <w:tcW w:w="2601" w:type="pct"/>
            <w:vAlign w:val="center"/>
          </w:tcPr>
          <w:p w14:paraId="37C6B54A">
            <w:pPr>
              <w:spacing w:after="50" w:line="360" w:lineRule="auto"/>
              <w:ind w:right="-10" w:rightChars="0"/>
              <w:jc w:val="center"/>
              <w:rPr>
                <w:rFonts w:ascii="宋体" w:hAnsi="宋体" w:eastAsia="宋体" w:cs="宋体"/>
                <w:spacing w:val="10"/>
                <w:sz w:val="24"/>
                <w:szCs w:val="24"/>
                <w:highlight w:val="none"/>
              </w:rPr>
            </w:pPr>
            <w:r>
              <w:rPr>
                <w:rFonts w:hint="eastAsia" w:asciiTheme="minorEastAsia" w:hAnsiTheme="minorEastAsia" w:eastAsiaTheme="minorEastAsia"/>
                <w:color w:val="auto"/>
                <w:sz w:val="24"/>
                <w:szCs w:val="28"/>
                <w:highlight w:val="none"/>
              </w:rPr>
              <w:t>符合</w:t>
            </w:r>
            <w:r>
              <w:rPr>
                <w:rFonts w:hint="eastAsia" w:ascii="宋体" w:hAnsi="宋体" w:eastAsia="宋体" w:cs="宋体"/>
                <w:spacing w:val="10"/>
                <w:sz w:val="24"/>
                <w:szCs w:val="24"/>
                <w:highlight w:val="none"/>
                <w:lang w:val="en-US" w:eastAsia="zh-CN"/>
              </w:rPr>
              <w:t>磋商</w:t>
            </w:r>
            <w:r>
              <w:rPr>
                <w:rFonts w:hint="eastAsia" w:asciiTheme="minorEastAsia" w:hAnsiTheme="minorEastAsia" w:eastAsiaTheme="minorEastAsia"/>
                <w:color w:val="auto"/>
                <w:sz w:val="24"/>
                <w:highlight w:val="none"/>
              </w:rPr>
              <w:t>文件</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rPr>
              <w:t>须知正文第</w:t>
            </w:r>
            <w:r>
              <w:rPr>
                <w:rFonts w:hint="eastAsia" w:asciiTheme="minorEastAsia" w:hAnsiTheme="minorEastAsia" w:eastAsiaTheme="minorEastAsia"/>
                <w:color w:val="auto"/>
                <w:sz w:val="24"/>
                <w:highlight w:val="none"/>
                <w:lang w:val="en-US" w:eastAsia="zh-CN"/>
              </w:rPr>
              <w:t>9</w:t>
            </w:r>
            <w:r>
              <w:rPr>
                <w:rFonts w:hint="eastAsia" w:asciiTheme="minorEastAsia" w:hAnsiTheme="minorEastAsia" w:eastAsiaTheme="minorEastAsia"/>
                <w:color w:val="auto"/>
                <w:sz w:val="24"/>
                <w:highlight w:val="none"/>
              </w:rPr>
              <w:t>条要求</w:t>
            </w:r>
          </w:p>
        </w:tc>
        <w:tc>
          <w:tcPr>
            <w:tcW w:w="1080" w:type="pct"/>
            <w:vAlign w:val="center"/>
          </w:tcPr>
          <w:p w14:paraId="30F2197D">
            <w:pPr>
              <w:adjustRightInd w:val="0"/>
              <w:snapToGrid w:val="0"/>
              <w:spacing w:line="360" w:lineRule="auto"/>
              <w:ind w:right="-10" w:rightChars="0"/>
              <w:jc w:val="center"/>
              <w:rPr>
                <w:rFonts w:hint="eastAsia" w:ascii="宋体" w:hAnsi="宋体" w:eastAsia="宋体" w:cs="宋体"/>
                <w:b w:val="0"/>
                <w:bCs w:val="0"/>
                <w:color w:val="auto"/>
                <w:sz w:val="24"/>
                <w:szCs w:val="24"/>
                <w:highlight w:val="none"/>
              </w:rPr>
            </w:pPr>
            <w:r>
              <w:rPr>
                <w:rFonts w:hint="eastAsia" w:asciiTheme="minorEastAsia" w:hAnsiTheme="minorEastAsia" w:eastAsiaTheme="minorEastAsia"/>
                <w:color w:val="auto"/>
                <w:sz w:val="24"/>
                <w:highlight w:val="none"/>
              </w:rPr>
              <w:t>详见第六章</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rPr>
              <w:t>文件格式</w:t>
            </w:r>
            <w:r>
              <w:rPr>
                <w:rFonts w:hint="eastAsia" w:asciiTheme="minorEastAsia" w:hAnsiTheme="minorEastAsia" w:eastAsiaTheme="minorEastAsia"/>
                <w:color w:val="auto"/>
                <w:sz w:val="24"/>
                <w:highlight w:val="none"/>
                <w:lang w:eastAsia="zh-CN"/>
              </w:rPr>
              <w:t>。</w:t>
            </w:r>
          </w:p>
        </w:tc>
      </w:tr>
      <w:tr w14:paraId="7A678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6" w:type="pct"/>
            <w:vAlign w:val="center"/>
          </w:tcPr>
          <w:p w14:paraId="6006BA0C">
            <w:pPr>
              <w:adjustRightInd w:val="0"/>
              <w:snapToGrid w:val="0"/>
              <w:spacing w:line="360" w:lineRule="auto"/>
              <w:ind w:right="-10" w:rightChars="0"/>
              <w:jc w:val="center"/>
              <w:rPr>
                <w:rFonts w:hint="default" w:ascii="宋体" w:hAnsi="宋体" w:eastAsia="宋体"/>
                <w:color w:val="auto"/>
                <w:sz w:val="24"/>
                <w:highlight w:val="none"/>
                <w:lang w:val="en-US" w:eastAsia="zh-CN"/>
              </w:rPr>
            </w:pPr>
            <w:r>
              <w:rPr>
                <w:rFonts w:hint="eastAsia" w:asciiTheme="minorEastAsia" w:hAnsiTheme="minorEastAsia" w:eastAsiaTheme="minorEastAsia"/>
                <w:color w:val="auto"/>
                <w:sz w:val="24"/>
                <w:highlight w:val="none"/>
                <w:lang w:val="en-US" w:eastAsia="zh-CN"/>
              </w:rPr>
              <w:t>8</w:t>
            </w:r>
          </w:p>
        </w:tc>
        <w:tc>
          <w:tcPr>
            <w:tcW w:w="942" w:type="pct"/>
            <w:vAlign w:val="center"/>
          </w:tcPr>
          <w:p w14:paraId="75EE1612">
            <w:pPr>
              <w:spacing w:after="50" w:line="360" w:lineRule="auto"/>
              <w:ind w:right="-10" w:rightChars="0"/>
              <w:jc w:val="center"/>
              <w:rPr>
                <w:rFonts w:ascii="宋体" w:hAnsi="宋体" w:eastAsia="宋体" w:cs="宋体"/>
                <w:spacing w:val="10"/>
                <w:sz w:val="24"/>
                <w:szCs w:val="24"/>
                <w:highlight w:val="none"/>
              </w:rPr>
            </w:pPr>
            <w:r>
              <w:rPr>
                <w:rFonts w:hint="eastAsia" w:asciiTheme="minorEastAsia" w:hAnsiTheme="minorEastAsia" w:eastAsiaTheme="minorEastAsia"/>
                <w:color w:val="auto"/>
                <w:sz w:val="24"/>
                <w:szCs w:val="28"/>
                <w:highlight w:val="none"/>
              </w:rPr>
              <w:t>商务响应情况</w:t>
            </w:r>
          </w:p>
        </w:tc>
        <w:tc>
          <w:tcPr>
            <w:tcW w:w="2601" w:type="pct"/>
            <w:vAlign w:val="center"/>
          </w:tcPr>
          <w:p w14:paraId="06EBEC0D">
            <w:pPr>
              <w:spacing w:after="50" w:line="360" w:lineRule="auto"/>
              <w:ind w:right="-10" w:rightChars="0"/>
              <w:jc w:val="center"/>
              <w:rPr>
                <w:rFonts w:ascii="宋体" w:hAnsi="宋体" w:eastAsia="宋体" w:cs="宋体"/>
                <w:spacing w:val="10"/>
                <w:sz w:val="24"/>
                <w:szCs w:val="24"/>
                <w:highlight w:val="none"/>
              </w:rPr>
            </w:pPr>
            <w:r>
              <w:rPr>
                <w:rFonts w:hint="eastAsia" w:asciiTheme="minorEastAsia" w:hAnsiTheme="minorEastAsia" w:eastAsiaTheme="minorEastAsia"/>
                <w:color w:val="auto"/>
                <w:sz w:val="24"/>
                <w:szCs w:val="28"/>
                <w:highlight w:val="none"/>
              </w:rPr>
              <w:t>符合</w:t>
            </w:r>
            <w:r>
              <w:rPr>
                <w:rFonts w:hint="eastAsia" w:ascii="宋体" w:hAnsi="宋体" w:eastAsia="宋体" w:cs="宋体"/>
                <w:spacing w:val="10"/>
                <w:sz w:val="24"/>
                <w:szCs w:val="24"/>
                <w:highlight w:val="none"/>
                <w:lang w:val="en-US" w:eastAsia="zh-CN"/>
              </w:rPr>
              <w:t>磋商</w:t>
            </w:r>
            <w:r>
              <w:rPr>
                <w:rFonts w:hint="eastAsia" w:asciiTheme="minorEastAsia" w:hAnsiTheme="minorEastAsia" w:eastAsiaTheme="minorEastAsia"/>
                <w:color w:val="auto"/>
                <w:sz w:val="24"/>
                <w:szCs w:val="28"/>
                <w:highlight w:val="none"/>
              </w:rPr>
              <w:t>文件采购需求中对付款方式、</w:t>
            </w:r>
            <w:r>
              <w:rPr>
                <w:rFonts w:hint="eastAsia" w:asciiTheme="minorEastAsia" w:hAnsiTheme="minorEastAsia" w:eastAsiaTheme="minorEastAsia"/>
                <w:color w:val="auto"/>
                <w:sz w:val="24"/>
                <w:szCs w:val="28"/>
                <w:highlight w:val="none"/>
                <w:lang w:val="en-US" w:eastAsia="zh-CN"/>
              </w:rPr>
              <w:t>服务地点</w:t>
            </w:r>
            <w:r>
              <w:rPr>
                <w:rFonts w:hint="eastAsia" w:asciiTheme="minorEastAsia" w:hAnsiTheme="minorEastAsia" w:eastAsiaTheme="minorEastAsia"/>
                <w:color w:val="auto"/>
                <w:sz w:val="24"/>
                <w:szCs w:val="28"/>
                <w:highlight w:val="none"/>
              </w:rPr>
              <w:t>、</w:t>
            </w:r>
            <w:r>
              <w:rPr>
                <w:rFonts w:hint="eastAsia" w:asciiTheme="minorEastAsia" w:hAnsiTheme="minorEastAsia" w:eastAsiaTheme="minorEastAsia"/>
                <w:color w:val="auto"/>
                <w:sz w:val="24"/>
                <w:szCs w:val="28"/>
                <w:highlight w:val="none"/>
                <w:lang w:val="en-US" w:eastAsia="zh-CN"/>
              </w:rPr>
              <w:t>服务期限等实质性</w:t>
            </w:r>
            <w:r>
              <w:rPr>
                <w:rFonts w:hint="eastAsia" w:asciiTheme="minorEastAsia" w:hAnsiTheme="minorEastAsia" w:eastAsiaTheme="minorEastAsia"/>
                <w:color w:val="auto"/>
                <w:sz w:val="24"/>
                <w:szCs w:val="28"/>
                <w:highlight w:val="none"/>
              </w:rPr>
              <w:t>要求</w:t>
            </w:r>
          </w:p>
        </w:tc>
        <w:tc>
          <w:tcPr>
            <w:tcW w:w="1080" w:type="pct"/>
            <w:vAlign w:val="center"/>
          </w:tcPr>
          <w:p w14:paraId="0233FBAA">
            <w:pPr>
              <w:adjustRightInd w:val="0"/>
              <w:snapToGrid w:val="0"/>
              <w:spacing w:line="360" w:lineRule="auto"/>
              <w:ind w:right="-10" w:rightChars="0"/>
              <w:jc w:val="center"/>
              <w:rPr>
                <w:rFonts w:hint="eastAsia" w:ascii="宋体" w:hAnsi="宋体" w:eastAsia="宋体" w:cs="宋体"/>
                <w:b w:val="0"/>
                <w:bCs w:val="0"/>
                <w:color w:val="auto"/>
                <w:sz w:val="24"/>
                <w:szCs w:val="24"/>
                <w:highlight w:val="none"/>
              </w:rPr>
            </w:pPr>
            <w:r>
              <w:rPr>
                <w:rFonts w:hint="eastAsia" w:asciiTheme="minorEastAsia" w:hAnsiTheme="minorEastAsia" w:eastAsiaTheme="minorEastAsia"/>
                <w:color w:val="auto"/>
                <w:sz w:val="24"/>
                <w:highlight w:val="none"/>
              </w:rPr>
              <w:t>详见第六章</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rPr>
              <w:t>文件格式</w:t>
            </w:r>
            <w:r>
              <w:rPr>
                <w:rFonts w:hint="eastAsia" w:asciiTheme="minorEastAsia" w:hAnsiTheme="minorEastAsia" w:eastAsiaTheme="minorEastAsia"/>
                <w:color w:val="auto"/>
                <w:sz w:val="24"/>
                <w:highlight w:val="none"/>
                <w:lang w:eastAsia="zh-CN"/>
              </w:rPr>
              <w:t>。</w:t>
            </w:r>
          </w:p>
        </w:tc>
      </w:tr>
      <w:tr w14:paraId="39F39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6" w:type="pct"/>
            <w:vAlign w:val="center"/>
          </w:tcPr>
          <w:p w14:paraId="5031B118">
            <w:pPr>
              <w:adjustRightInd w:val="0"/>
              <w:snapToGrid w:val="0"/>
              <w:spacing w:line="360" w:lineRule="auto"/>
              <w:ind w:right="-10" w:rightChars="0"/>
              <w:jc w:val="center"/>
              <w:rPr>
                <w:rFonts w:hint="default" w:ascii="宋体" w:hAnsi="宋体" w:eastAsia="宋体"/>
                <w:color w:val="auto"/>
                <w:sz w:val="24"/>
                <w:highlight w:val="none"/>
                <w:lang w:val="en-US" w:eastAsia="zh-CN"/>
              </w:rPr>
            </w:pPr>
            <w:r>
              <w:rPr>
                <w:rFonts w:hint="eastAsia" w:asciiTheme="minorEastAsia" w:hAnsiTheme="minorEastAsia" w:eastAsiaTheme="minorEastAsia"/>
                <w:color w:val="auto"/>
                <w:sz w:val="24"/>
                <w:highlight w:val="none"/>
                <w:lang w:val="en-US" w:eastAsia="zh-CN"/>
              </w:rPr>
              <w:t>9</w:t>
            </w:r>
          </w:p>
        </w:tc>
        <w:tc>
          <w:tcPr>
            <w:tcW w:w="942" w:type="pct"/>
            <w:vAlign w:val="center"/>
          </w:tcPr>
          <w:p w14:paraId="7AAB66F1">
            <w:pPr>
              <w:spacing w:after="50" w:line="360" w:lineRule="auto"/>
              <w:ind w:right="-10" w:rightChars="0"/>
              <w:jc w:val="center"/>
              <w:rPr>
                <w:rFonts w:ascii="宋体" w:hAnsi="宋体" w:eastAsia="宋体" w:cs="宋体"/>
                <w:spacing w:val="10"/>
                <w:sz w:val="24"/>
                <w:szCs w:val="24"/>
                <w:highlight w:val="none"/>
              </w:rPr>
            </w:pPr>
            <w:r>
              <w:rPr>
                <w:rFonts w:hint="eastAsia" w:asciiTheme="minorEastAsia" w:hAnsiTheme="minorEastAsia" w:eastAsiaTheme="minorEastAsia"/>
                <w:color w:val="auto"/>
                <w:sz w:val="24"/>
                <w:szCs w:val="28"/>
                <w:highlight w:val="none"/>
              </w:rPr>
              <w:t>其他要求</w:t>
            </w:r>
          </w:p>
        </w:tc>
        <w:tc>
          <w:tcPr>
            <w:tcW w:w="2601" w:type="pct"/>
            <w:vAlign w:val="center"/>
          </w:tcPr>
          <w:p w14:paraId="0CA1AAD0">
            <w:pPr>
              <w:spacing w:after="50" w:line="360" w:lineRule="auto"/>
              <w:ind w:right="-10" w:rightChars="0"/>
              <w:jc w:val="center"/>
              <w:rPr>
                <w:rFonts w:ascii="宋体" w:hAnsi="宋体" w:eastAsia="宋体" w:cs="宋体"/>
                <w:spacing w:val="10"/>
                <w:sz w:val="24"/>
                <w:szCs w:val="24"/>
                <w:highlight w:val="none"/>
              </w:rPr>
            </w:pPr>
            <w:r>
              <w:rPr>
                <w:rFonts w:hint="eastAsia" w:asciiTheme="minorEastAsia" w:hAnsiTheme="minorEastAsia" w:eastAsiaTheme="minorEastAsia"/>
                <w:color w:val="auto"/>
                <w:sz w:val="24"/>
                <w:szCs w:val="28"/>
                <w:highlight w:val="none"/>
              </w:rPr>
              <w:t>符合法律、行政法规规定的其他条件或</w:t>
            </w:r>
            <w:r>
              <w:rPr>
                <w:rFonts w:hint="eastAsia" w:asciiTheme="minorEastAsia" w:hAnsiTheme="minorEastAsia" w:eastAsiaTheme="minorEastAsia"/>
                <w:color w:val="auto"/>
                <w:sz w:val="24"/>
                <w:szCs w:val="28"/>
                <w:highlight w:val="none"/>
                <w:lang w:val="en-US" w:eastAsia="zh-CN"/>
              </w:rPr>
              <w:t>磋商</w:t>
            </w:r>
            <w:r>
              <w:rPr>
                <w:rFonts w:hint="eastAsia" w:asciiTheme="minorEastAsia" w:hAnsiTheme="minorEastAsia" w:eastAsiaTheme="minorEastAsia"/>
                <w:color w:val="auto"/>
                <w:sz w:val="24"/>
                <w:szCs w:val="28"/>
                <w:highlight w:val="none"/>
              </w:rPr>
              <w:t>文件列明的其他</w:t>
            </w:r>
            <w:r>
              <w:rPr>
                <w:rFonts w:hint="eastAsia" w:asciiTheme="minorEastAsia" w:hAnsiTheme="minorEastAsia" w:eastAsiaTheme="minorEastAsia"/>
                <w:color w:val="auto"/>
                <w:sz w:val="24"/>
                <w:szCs w:val="28"/>
                <w:highlight w:val="none"/>
                <w:lang w:val="en-US" w:eastAsia="zh-CN"/>
              </w:rPr>
              <w:t>实质性</w:t>
            </w:r>
            <w:r>
              <w:rPr>
                <w:rFonts w:hint="eastAsia" w:asciiTheme="minorEastAsia" w:hAnsiTheme="minorEastAsia" w:eastAsiaTheme="minorEastAsia"/>
                <w:color w:val="auto"/>
                <w:sz w:val="24"/>
                <w:szCs w:val="28"/>
                <w:highlight w:val="none"/>
              </w:rPr>
              <w:t>要求</w:t>
            </w:r>
          </w:p>
        </w:tc>
        <w:tc>
          <w:tcPr>
            <w:tcW w:w="1080" w:type="pct"/>
            <w:vAlign w:val="center"/>
          </w:tcPr>
          <w:p w14:paraId="167CDA59">
            <w:pPr>
              <w:adjustRightInd w:val="0"/>
              <w:snapToGrid w:val="0"/>
              <w:spacing w:line="360" w:lineRule="auto"/>
              <w:ind w:right="-10" w:rightChars="0"/>
              <w:jc w:val="center"/>
              <w:rPr>
                <w:rFonts w:hint="eastAsia" w:ascii="宋体" w:hAnsi="宋体" w:eastAsia="宋体" w:cs="宋体"/>
                <w:b w:val="0"/>
                <w:bCs w:val="0"/>
                <w:color w:val="auto"/>
                <w:sz w:val="24"/>
                <w:szCs w:val="24"/>
                <w:highlight w:val="none"/>
              </w:rPr>
            </w:pPr>
          </w:p>
        </w:tc>
      </w:tr>
    </w:tbl>
    <w:p w14:paraId="39B9A853">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b/>
          <w:bCs/>
          <w:color w:val="auto"/>
          <w:sz w:val="24"/>
          <w:highlight w:val="none"/>
        </w:rPr>
        <w:t>初审指标通过标准：</w:t>
      </w:r>
      <w:r>
        <w:rPr>
          <w:rFonts w:hint="eastAsia" w:asciiTheme="minorEastAsia" w:hAnsiTheme="minorEastAsia" w:eastAsiaTheme="minorEastAsia"/>
          <w:color w:val="auto"/>
          <w:sz w:val="24"/>
          <w:highlight w:val="none"/>
        </w:rPr>
        <w:t>供应商必须通过初审表中的全部评审指标。</w:t>
      </w:r>
    </w:p>
    <w:p w14:paraId="046B61AA">
      <w:pPr>
        <w:spacing w:line="360" w:lineRule="auto"/>
        <w:ind w:firstLine="435"/>
        <w:outlineLvl w:val="2"/>
        <w:rPr>
          <w:rFonts w:hint="eastAsia" w:asciiTheme="minorEastAsia" w:hAnsiTheme="minorEastAsia" w:eastAsiaTheme="minorEastAsia"/>
          <w:sz w:val="24"/>
          <w:highlight w:val="none"/>
        </w:rPr>
      </w:pPr>
      <w:r>
        <w:rPr>
          <w:rFonts w:hint="eastAsia" w:cs="Times New Roman" w:asciiTheme="minorEastAsia" w:hAnsiTheme="minorEastAsia" w:eastAsiaTheme="minorEastAsia"/>
          <w:color w:val="auto"/>
          <w:sz w:val="24"/>
          <w:highlight w:val="none"/>
          <w:lang w:val="en-US" w:eastAsia="zh-CN"/>
        </w:rPr>
        <w:t>2.2</w:t>
      </w:r>
      <w:r>
        <w:rPr>
          <w:rFonts w:hint="eastAsia" w:cs="Times New Roman" w:asciiTheme="minorEastAsia" w:hAnsiTheme="minorEastAsia" w:eastAsiaTheme="minorEastAsia"/>
          <w:color w:val="auto"/>
          <w:sz w:val="24"/>
          <w:highlight w:val="none"/>
        </w:rPr>
        <w:t>异常低价</w:t>
      </w:r>
      <w:r>
        <w:rPr>
          <w:rFonts w:hint="eastAsia" w:cs="Times New Roman" w:asciiTheme="minorEastAsia" w:hAnsiTheme="minorEastAsia" w:eastAsiaTheme="minorEastAsia"/>
          <w:color w:val="auto"/>
          <w:sz w:val="24"/>
          <w:highlight w:val="none"/>
          <w:lang w:val="en-US" w:eastAsia="zh-CN"/>
        </w:rPr>
        <w:t>响应</w:t>
      </w:r>
      <w:r>
        <w:rPr>
          <w:rFonts w:hint="eastAsia" w:cs="Times New Roman" w:asciiTheme="minorEastAsia" w:hAnsiTheme="minorEastAsia" w:eastAsiaTheme="minorEastAsia"/>
          <w:color w:val="auto"/>
          <w:sz w:val="24"/>
          <w:highlight w:val="none"/>
        </w:rPr>
        <w:t>审</w:t>
      </w:r>
      <w:r>
        <w:rPr>
          <w:rFonts w:hint="eastAsia" w:asciiTheme="minorEastAsia" w:hAnsiTheme="minorEastAsia" w:eastAsiaTheme="minorEastAsia"/>
          <w:sz w:val="24"/>
          <w:highlight w:val="none"/>
        </w:rPr>
        <w:t>查</w:t>
      </w:r>
    </w:p>
    <w:tbl>
      <w:tblPr>
        <w:tblStyle w:val="77"/>
        <w:tblW w:w="52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1538"/>
        <w:gridCol w:w="4707"/>
        <w:gridCol w:w="2397"/>
      </w:tblGrid>
      <w:tr w14:paraId="3EAE8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954" w:type="dxa"/>
            <w:gridSpan w:val="4"/>
            <w:tcBorders>
              <w:bottom w:val="single" w:color="auto" w:sz="4" w:space="0"/>
            </w:tcBorders>
            <w:vAlign w:val="center"/>
          </w:tcPr>
          <w:p w14:paraId="564C20CA">
            <w:pPr>
              <w:adjustRightInd w:val="0"/>
              <w:snapToGrid w:val="0"/>
              <w:spacing w:line="360" w:lineRule="auto"/>
              <w:ind w:right="-10" w:rightChars="0"/>
              <w:jc w:val="center"/>
              <w:rPr>
                <w:rFonts w:ascii="宋体" w:hAnsi="宋体" w:eastAsia="宋体"/>
                <w:sz w:val="24"/>
                <w:highlight w:val="none"/>
              </w:rPr>
            </w:pPr>
            <w:r>
              <w:rPr>
                <w:rFonts w:hint="eastAsia" w:ascii="宋体" w:hAnsi="宋体" w:eastAsia="宋体" w:cs="Times New Roman"/>
                <w:b/>
                <w:bCs/>
                <w:sz w:val="24"/>
                <w:highlight w:val="none"/>
                <w:lang w:val="en-US" w:eastAsia="zh-CN"/>
              </w:rPr>
              <w:t>异常低价响应审查表</w:t>
            </w:r>
          </w:p>
        </w:tc>
      </w:tr>
      <w:tr w14:paraId="04886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Borders>
              <w:bottom w:val="single" w:color="auto" w:sz="4" w:space="0"/>
            </w:tcBorders>
            <w:vAlign w:val="center"/>
          </w:tcPr>
          <w:p w14:paraId="24679D0C">
            <w:pPr>
              <w:spacing w:line="360" w:lineRule="auto"/>
              <w:jc w:val="center"/>
              <w:rPr>
                <w:rFonts w:ascii="宋体" w:hAnsi="宋体" w:eastAsia="宋体"/>
                <w:sz w:val="24"/>
                <w:highlight w:val="none"/>
              </w:rPr>
            </w:pPr>
            <w:r>
              <w:rPr>
                <w:rFonts w:hint="eastAsia" w:ascii="宋体" w:hAnsi="宋体" w:eastAsia="宋体" w:cs="Times New Roman"/>
                <w:sz w:val="24"/>
                <w:highlight w:val="none"/>
                <w:lang w:val="en-US" w:eastAsia="zh-CN"/>
              </w:rPr>
              <w:t>序号</w:t>
            </w:r>
          </w:p>
        </w:tc>
        <w:tc>
          <w:tcPr>
            <w:tcW w:w="1450" w:type="dxa"/>
            <w:tcBorders>
              <w:bottom w:val="single" w:color="auto" w:sz="4" w:space="0"/>
            </w:tcBorders>
            <w:vAlign w:val="center"/>
          </w:tcPr>
          <w:p w14:paraId="4C99AF34">
            <w:pPr>
              <w:spacing w:line="360" w:lineRule="auto"/>
              <w:ind w:firstLine="240" w:firstLineChars="100"/>
              <w:jc w:val="center"/>
              <w:rPr>
                <w:rFonts w:ascii="宋体" w:hAnsi="宋体" w:eastAsia="宋体"/>
                <w:kern w:val="2"/>
                <w:szCs w:val="24"/>
                <w:highlight w:val="none"/>
              </w:rPr>
            </w:pPr>
            <w:r>
              <w:rPr>
                <w:rFonts w:hint="eastAsia" w:ascii="宋体" w:hAnsi="宋体" w:eastAsia="宋体" w:cs="Times New Roman"/>
                <w:sz w:val="24"/>
                <w:highlight w:val="none"/>
                <w:lang w:val="en-US" w:eastAsia="zh-CN"/>
              </w:rPr>
              <w:t>评审指标</w:t>
            </w:r>
          </w:p>
        </w:tc>
        <w:tc>
          <w:tcPr>
            <w:tcW w:w="4439" w:type="dxa"/>
            <w:tcBorders>
              <w:bottom w:val="single" w:color="auto" w:sz="4" w:space="0"/>
            </w:tcBorders>
            <w:vAlign w:val="center"/>
          </w:tcPr>
          <w:p w14:paraId="45F15DB9">
            <w:pPr>
              <w:spacing w:line="360" w:lineRule="auto"/>
              <w:ind w:firstLine="240" w:firstLineChars="100"/>
              <w:jc w:val="center"/>
              <w:rPr>
                <w:rFonts w:ascii="宋体" w:hAnsi="宋体" w:eastAsia="宋体"/>
                <w:sz w:val="24"/>
                <w:highlight w:val="none"/>
              </w:rPr>
            </w:pPr>
            <w:r>
              <w:rPr>
                <w:rFonts w:hint="eastAsia" w:ascii="宋体" w:hAnsi="宋体" w:eastAsia="宋体" w:cs="Times New Roman"/>
                <w:sz w:val="24"/>
                <w:highlight w:val="none"/>
                <w:lang w:val="en-US" w:eastAsia="zh-CN"/>
              </w:rPr>
              <w:t>评审标准</w:t>
            </w:r>
          </w:p>
        </w:tc>
        <w:tc>
          <w:tcPr>
            <w:tcW w:w="2260" w:type="dxa"/>
            <w:tcBorders>
              <w:bottom w:val="single" w:color="auto" w:sz="4" w:space="0"/>
            </w:tcBorders>
            <w:vAlign w:val="center"/>
          </w:tcPr>
          <w:p w14:paraId="2E5C17A7">
            <w:pPr>
              <w:spacing w:line="360" w:lineRule="auto"/>
              <w:jc w:val="center"/>
              <w:rPr>
                <w:rFonts w:ascii="宋体" w:hAnsi="宋体" w:eastAsia="宋体"/>
                <w:sz w:val="24"/>
                <w:highlight w:val="none"/>
              </w:rPr>
            </w:pPr>
            <w:r>
              <w:rPr>
                <w:rFonts w:hint="eastAsia" w:ascii="宋体" w:hAnsi="宋体" w:eastAsia="宋体" w:cs="Times New Roman"/>
                <w:sz w:val="24"/>
                <w:highlight w:val="none"/>
                <w:lang w:val="en-US" w:eastAsia="zh-CN"/>
              </w:rPr>
              <w:t>格式及材料要求</w:t>
            </w:r>
          </w:p>
        </w:tc>
      </w:tr>
      <w:tr w14:paraId="2BB63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805" w:type="dxa"/>
            <w:tcBorders>
              <w:bottom w:val="single" w:color="auto" w:sz="4" w:space="0"/>
            </w:tcBorders>
            <w:vAlign w:val="center"/>
          </w:tcPr>
          <w:p w14:paraId="21D539B3">
            <w:pPr>
              <w:spacing w:line="360" w:lineRule="auto"/>
              <w:ind w:firstLine="240" w:firstLineChars="100"/>
              <w:rPr>
                <w:rFonts w:hint="eastAsia" w:ascii="宋体" w:hAnsi="宋体" w:eastAsia="宋体" w:cs="宋体"/>
                <w:sz w:val="24"/>
                <w:highlight w:val="none"/>
              </w:rPr>
            </w:pPr>
            <w:r>
              <w:rPr>
                <w:rFonts w:hint="eastAsia" w:ascii="宋体" w:hAnsi="宋体" w:eastAsia="宋体" w:cs="宋体"/>
                <w:sz w:val="24"/>
                <w:highlight w:val="none"/>
                <w:lang w:val="en-US" w:eastAsia="zh-CN"/>
              </w:rPr>
              <w:t>1</w:t>
            </w:r>
          </w:p>
        </w:tc>
        <w:tc>
          <w:tcPr>
            <w:tcW w:w="1450" w:type="dxa"/>
            <w:tcBorders>
              <w:bottom w:val="single" w:color="auto" w:sz="4" w:space="0"/>
            </w:tcBorders>
            <w:vAlign w:val="center"/>
          </w:tcPr>
          <w:p w14:paraId="07AC4246">
            <w:pPr>
              <w:spacing w:line="360" w:lineRule="auto"/>
              <w:rPr>
                <w:rFonts w:hint="eastAsia" w:ascii="宋体" w:hAnsi="宋体" w:eastAsia="宋体" w:cs="宋体"/>
                <w:sz w:val="24"/>
                <w:szCs w:val="28"/>
                <w:highlight w:val="none"/>
              </w:rPr>
            </w:pPr>
            <w:r>
              <w:rPr>
                <w:rFonts w:hint="eastAsia" w:ascii="宋体" w:hAnsi="宋体" w:eastAsia="宋体" w:cs="宋体"/>
                <w:sz w:val="24"/>
                <w:highlight w:val="none"/>
                <w:lang w:val="en-US" w:eastAsia="zh-CN"/>
              </w:rPr>
              <w:t>异常低价响应审查</w:t>
            </w:r>
          </w:p>
        </w:tc>
        <w:tc>
          <w:tcPr>
            <w:tcW w:w="4439" w:type="dxa"/>
            <w:tcBorders>
              <w:bottom w:val="single" w:color="auto" w:sz="4" w:space="0"/>
            </w:tcBorders>
            <w:vAlign w:val="center"/>
          </w:tcPr>
          <w:p w14:paraId="0B6984B1">
            <w:pPr>
              <w:pStyle w:val="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（1）报价＜全部通过初审供应商响应报价平均值×</w:t>
            </w:r>
            <w:r>
              <w:rPr>
                <w:rFonts w:hint="eastAsia" w:ascii="宋体" w:hAnsi="宋体" w:eastAsia="宋体" w:cs="宋体"/>
                <w:b w:val="0"/>
                <w:bCs w:val="0"/>
                <w:i w:val="0"/>
                <w:iCs w:val="0"/>
                <w:color w:val="FF0000"/>
                <w:sz w:val="24"/>
                <w:szCs w:val="24"/>
                <w:highlight w:val="none"/>
                <w:u w:val="single"/>
                <w:lang w:val="en-US" w:eastAsia="zh-CN"/>
              </w:rPr>
              <w:t>50%</w:t>
            </w:r>
            <w:r>
              <w:rPr>
                <w:rFonts w:hint="eastAsia" w:ascii="宋体" w:hAnsi="宋体" w:eastAsia="宋体" w:cs="宋体"/>
                <w:b w:val="0"/>
                <w:bCs w:val="0"/>
                <w:i w:val="0"/>
                <w:iCs w:val="0"/>
                <w:sz w:val="24"/>
                <w:szCs w:val="24"/>
                <w:highlight w:val="none"/>
                <w:u w:val="none"/>
                <w:lang w:val="en-US" w:eastAsia="zh-CN"/>
              </w:rPr>
              <w:t>；</w:t>
            </w:r>
          </w:p>
          <w:p w14:paraId="467BB19E">
            <w:pPr>
              <w:pStyle w:val="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（2）报价＜通过初审的次低报价供应商响应报价×</w:t>
            </w:r>
            <w:r>
              <w:rPr>
                <w:rFonts w:hint="eastAsia" w:ascii="宋体" w:hAnsi="宋体" w:eastAsia="宋体" w:cs="宋体"/>
                <w:b w:val="0"/>
                <w:bCs w:val="0"/>
                <w:i w:val="0"/>
                <w:iCs w:val="0"/>
                <w:color w:val="FF0000"/>
                <w:sz w:val="24"/>
                <w:szCs w:val="24"/>
                <w:highlight w:val="none"/>
                <w:u w:val="single"/>
                <w:lang w:val="en-US" w:eastAsia="zh-CN"/>
              </w:rPr>
              <w:t>50%</w:t>
            </w:r>
            <w:r>
              <w:rPr>
                <w:rFonts w:hint="eastAsia" w:ascii="宋体" w:hAnsi="宋体" w:eastAsia="宋体" w:cs="宋体"/>
                <w:b w:val="0"/>
                <w:bCs w:val="0"/>
                <w:i w:val="0"/>
                <w:iCs w:val="0"/>
                <w:sz w:val="24"/>
                <w:szCs w:val="24"/>
                <w:highlight w:val="none"/>
                <w:u w:val="none"/>
                <w:lang w:val="en-US" w:eastAsia="zh-CN"/>
              </w:rPr>
              <w:t>；</w:t>
            </w:r>
          </w:p>
          <w:p w14:paraId="030240E3">
            <w:pPr>
              <w:pStyle w:val="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（3）报价＜采购项目最高限价（如采购项目未设定最高限价的，以采购项目预算金额作为最高限价）×</w:t>
            </w:r>
            <w:r>
              <w:rPr>
                <w:rFonts w:hint="eastAsia" w:ascii="宋体" w:hAnsi="宋体" w:cs="宋体"/>
                <w:b w:val="0"/>
                <w:bCs w:val="0"/>
                <w:i w:val="0"/>
                <w:iCs w:val="0"/>
                <w:color w:val="FF0000"/>
                <w:sz w:val="24"/>
                <w:szCs w:val="24"/>
                <w:highlight w:val="none"/>
                <w:u w:val="single"/>
                <w:lang w:val="en-US" w:eastAsia="zh-CN"/>
              </w:rPr>
              <w:t>65</w:t>
            </w:r>
            <w:r>
              <w:rPr>
                <w:rFonts w:hint="eastAsia" w:ascii="宋体" w:hAnsi="宋体" w:eastAsia="宋体" w:cs="宋体"/>
                <w:b w:val="0"/>
                <w:bCs w:val="0"/>
                <w:i w:val="0"/>
                <w:iCs w:val="0"/>
                <w:color w:val="FF0000"/>
                <w:sz w:val="24"/>
                <w:szCs w:val="24"/>
                <w:highlight w:val="none"/>
                <w:u w:val="single"/>
                <w:lang w:val="en-US" w:eastAsia="zh-CN"/>
              </w:rPr>
              <w:t>%</w:t>
            </w:r>
            <w:r>
              <w:rPr>
                <w:rFonts w:hint="eastAsia" w:ascii="宋体" w:hAnsi="宋体" w:eastAsia="宋体" w:cs="宋体"/>
                <w:b w:val="0"/>
                <w:bCs w:val="0"/>
                <w:i w:val="0"/>
                <w:iCs w:val="0"/>
                <w:sz w:val="24"/>
                <w:szCs w:val="24"/>
                <w:highlight w:val="none"/>
                <w:u w:val="none"/>
                <w:lang w:val="en-US" w:eastAsia="zh-CN"/>
              </w:rPr>
              <w:t>；</w:t>
            </w:r>
          </w:p>
          <w:p w14:paraId="0AE61F47">
            <w:pPr>
              <w:pStyle w:val="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（4）磋商小组基于专业判断，认为供应商报价过低，有可能影响产品质量或者不能诚信履约的其他情形。</w:t>
            </w:r>
          </w:p>
          <w:p w14:paraId="79854E87">
            <w:pPr>
              <w:pStyle w:val="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提醒：</w:t>
            </w:r>
          </w:p>
          <w:p w14:paraId="621C2DF9">
            <w:pPr>
              <w:pStyle w:val="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（1）上述第（1）项数值计算：涉及总价、单价的精确到“分”并四舍五入，涉及费率的精确到小数点后两位，第三位四舍五入（例：如平均值为123.456元，即为123.46元；如平均值为80.126%，即为80.13%）。</w:t>
            </w:r>
          </w:p>
          <w:p w14:paraId="66D88375">
            <w:pPr>
              <w:pStyle w:val="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（2）上述报价均为供应商最后报价。</w:t>
            </w:r>
          </w:p>
        </w:tc>
        <w:tc>
          <w:tcPr>
            <w:tcW w:w="2260" w:type="dxa"/>
            <w:vAlign w:val="center"/>
          </w:tcPr>
          <w:p w14:paraId="097BBAAF">
            <w:pPr>
              <w:spacing w:line="360" w:lineRule="auto"/>
              <w:ind w:firstLine="240" w:firstLineChars="100"/>
              <w:rPr>
                <w:rFonts w:hint="eastAsia" w:ascii="宋体" w:hAnsi="宋体" w:eastAsia="宋体" w:cs="宋体"/>
                <w:sz w:val="24"/>
                <w:highlight w:val="none"/>
              </w:rPr>
            </w:pPr>
            <w:r>
              <w:rPr>
                <w:rFonts w:hint="eastAsia" w:ascii="宋体" w:hAnsi="宋体" w:eastAsia="宋体" w:cs="宋体"/>
                <w:sz w:val="24"/>
                <w:highlight w:val="none"/>
                <w:lang w:val="en-US" w:eastAsia="zh-CN"/>
              </w:rPr>
              <w:t>供应商在评审现场合理的时间内对价格作出解释，提供项目具体成本测算等与报价合理性相关的书面说明及必要的证明材料，包括但不限于原材料成本、人工成本、制造费用等。</w:t>
            </w:r>
          </w:p>
        </w:tc>
      </w:tr>
    </w:tbl>
    <w:p w14:paraId="7B963137">
      <w:pPr>
        <w:spacing w:line="360" w:lineRule="auto"/>
        <w:rPr>
          <w:rFonts w:hint="eastAsia" w:ascii="宋体" w:hAnsi="宋体" w:eastAsia="宋体" w:cs="Arial"/>
          <w:sz w:val="24"/>
          <w:highlight w:val="none"/>
          <w:lang w:val="en-US" w:eastAsia="zh-CN"/>
        </w:rPr>
      </w:pPr>
      <w:r>
        <w:rPr>
          <w:rFonts w:hint="eastAsia" w:ascii="宋体" w:hAnsi="宋体" w:eastAsia="宋体" w:cs="Times New Roman"/>
          <w:sz w:val="24"/>
          <w:highlight w:val="none"/>
          <w:lang w:val="en-US" w:eastAsia="zh-CN"/>
        </w:rPr>
        <w:t>注：</w:t>
      </w:r>
    </w:p>
    <w:p w14:paraId="05C8ECAF">
      <w:pPr>
        <w:pStyle w:val="2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highlight w:val="none"/>
          <w:lang w:val="en-US" w:eastAsia="zh-CN"/>
        </w:rPr>
      </w:pPr>
      <w:r>
        <w:rPr>
          <w:rFonts w:hint="eastAsia" w:ascii="宋体" w:hAnsi="宋体" w:eastAsia="宋体"/>
          <w:sz w:val="24"/>
          <w:highlight w:val="none"/>
        </w:rPr>
        <w:t>根据《关于推进解决政府采购异常低价问题的通知》（财库〔2026〕2号），</w:t>
      </w:r>
      <w:r>
        <w:rPr>
          <w:rFonts w:hint="eastAsia" w:ascii="宋体" w:hAnsi="宋体" w:eastAsia="宋体"/>
          <w:sz w:val="24"/>
          <w:highlight w:val="none"/>
          <w:lang w:val="en-US" w:eastAsia="zh-CN"/>
        </w:rPr>
        <w:t>采购人可以结合具体项目实际情况，提高上述</w:t>
      </w:r>
      <w:r>
        <w:rPr>
          <w:rFonts w:hint="eastAsia" w:ascii="宋体" w:hAnsi="宋体" w:eastAsia="宋体" w:cs="Times New Roman"/>
          <w:sz w:val="24"/>
          <w:highlight w:val="none"/>
          <w:lang w:val="en-US" w:eastAsia="zh-CN"/>
        </w:rPr>
        <w:t>评审标准</w:t>
      </w:r>
      <w:r>
        <w:rPr>
          <w:rFonts w:hint="eastAsia" w:ascii="宋体" w:hAnsi="宋体" w:eastAsia="宋体"/>
          <w:sz w:val="24"/>
          <w:highlight w:val="none"/>
          <w:lang w:val="en-US" w:eastAsia="zh-CN"/>
        </w:rPr>
        <w:t>第（1）项至第（3）项中的数值标准，但是最高不得超过65%。</w:t>
      </w:r>
    </w:p>
    <w:p w14:paraId="60415E9E">
      <w:pPr>
        <w:pStyle w:val="2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highlight w:val="none"/>
        </w:rPr>
      </w:pPr>
      <w:r>
        <w:rPr>
          <w:rFonts w:hint="eastAsia" w:ascii="宋体" w:hAnsi="宋体" w:eastAsia="宋体"/>
          <w:sz w:val="24"/>
          <w:highlight w:val="none"/>
        </w:rPr>
        <w:t>磋商小组启动异常低价响应审查后，属于评审标准中第（1）项至第（4）项情形的，应当要求相关供应商在评审现场合理的时间内（不少于30分钟）对响应价格作出解释，提供项目具体成本测算等与报价合理性相关的书面说明及必要的证明材料，包括但不限于原材料成本、人工成本、制造费用等。其中，属于第</w:t>
      </w:r>
      <w:r>
        <w:rPr>
          <w:rFonts w:hint="eastAsia" w:ascii="宋体" w:hAnsi="宋体" w:eastAsia="宋体"/>
          <w:sz w:val="24"/>
          <w:highlight w:val="none"/>
          <w:lang w:eastAsia="zh-CN"/>
        </w:rPr>
        <w:t>（</w:t>
      </w:r>
      <w:r>
        <w:rPr>
          <w:rFonts w:hint="eastAsia" w:ascii="宋体" w:hAnsi="宋体" w:eastAsia="宋体"/>
          <w:sz w:val="24"/>
          <w:highlight w:val="none"/>
          <w:lang w:val="en-US" w:eastAsia="zh-CN"/>
        </w:rPr>
        <w:t>3</w:t>
      </w:r>
      <w:r>
        <w:rPr>
          <w:rFonts w:hint="eastAsia" w:ascii="宋体" w:hAnsi="宋体" w:eastAsia="宋体"/>
          <w:sz w:val="24"/>
          <w:highlight w:val="none"/>
          <w:lang w:eastAsia="zh-CN"/>
        </w:rPr>
        <w:t>）</w:t>
      </w:r>
      <w:r>
        <w:rPr>
          <w:rFonts w:hint="eastAsia" w:ascii="宋体" w:hAnsi="宋体" w:eastAsia="宋体"/>
          <w:sz w:val="24"/>
          <w:highlight w:val="none"/>
        </w:rPr>
        <w:t>项情形，供应商已随响应文件一并提交相关书面说明及必要的证明材料的，在评审现场可不再重复提交。</w:t>
      </w:r>
    </w:p>
    <w:p w14:paraId="35EE626D">
      <w:pPr>
        <w:pStyle w:val="2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highlight w:val="none"/>
        </w:rPr>
      </w:pPr>
      <w:r>
        <w:rPr>
          <w:rFonts w:hint="eastAsia" w:ascii="宋体" w:hAnsi="宋体" w:eastAsia="宋体"/>
          <w:sz w:val="24"/>
          <w:highlight w:val="none"/>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 </w:t>
      </w:r>
    </w:p>
    <w:p w14:paraId="0BA389A1">
      <w:pPr>
        <w:pStyle w:val="2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highlight w:val="none"/>
        </w:rPr>
      </w:pPr>
      <w:r>
        <w:rPr>
          <w:rFonts w:hint="eastAsia" w:ascii="宋体" w:hAnsi="宋体" w:eastAsia="宋体"/>
          <w:sz w:val="24"/>
          <w:highlight w:val="none"/>
        </w:rPr>
        <w:t>磋商小组借助互联网等渠道查询相关信息的，应当严格遵守评审工作纪律，不得实施影响评审公正的行为。异常低价响应审查的启动原因、审查意见和审查结果应当在评审报告中记录，并随供应商提供的相关书面说明及证明材料，以及磋商小组有关互联网浏览、查询历史一并归档。</w:t>
      </w:r>
    </w:p>
    <w:p w14:paraId="27FA6218">
      <w:pPr>
        <w:pStyle w:val="209"/>
        <w:spacing w:beforeLines="0" w:line="360" w:lineRule="auto"/>
        <w:rPr>
          <w:rFonts w:hint="eastAsia" w:cs="Times New Roman" w:asciiTheme="minorEastAsia" w:hAnsiTheme="minorEastAsia" w:eastAsiaTheme="minorEastAsia"/>
          <w:b w:val="0"/>
          <w:color w:val="auto"/>
          <w:kern w:val="2"/>
          <w:sz w:val="24"/>
          <w:szCs w:val="24"/>
          <w:highlight w:val="none"/>
          <w:lang w:val="en-US" w:eastAsia="zh-CN" w:bidi="ar-SA"/>
        </w:rPr>
      </w:pPr>
      <w:r>
        <w:rPr>
          <w:rFonts w:hint="eastAsia" w:cs="Times New Roman" w:asciiTheme="minorEastAsia" w:hAnsiTheme="minorEastAsia" w:eastAsiaTheme="minorEastAsia"/>
          <w:b w:val="0"/>
          <w:color w:val="auto"/>
          <w:kern w:val="2"/>
          <w:sz w:val="24"/>
          <w:szCs w:val="24"/>
          <w:highlight w:val="none"/>
          <w:lang w:val="en-US" w:eastAsia="zh-CN" w:bidi="ar-SA"/>
        </w:rPr>
        <w:t>2.3、综合评标办法</w:t>
      </w:r>
      <w:bookmarkEnd w:id="21"/>
      <w:bookmarkEnd w:id="22"/>
    </w:p>
    <w:p w14:paraId="1F251BBE">
      <w:pPr>
        <w:pStyle w:val="193"/>
        <w:numPr>
          <w:ilvl w:val="0"/>
          <w:numId w:val="0"/>
        </w:numPr>
        <w:spacing w:line="360" w:lineRule="auto"/>
        <w:ind w:firstLine="442" w:firstLineChars="200"/>
        <w:rPr>
          <w:rFonts w:hint="eastAsia"/>
          <w:color w:val="auto"/>
          <w:sz w:val="22"/>
          <w:szCs w:val="21"/>
          <w:highlight w:val="none"/>
        </w:rPr>
      </w:pPr>
      <w:bookmarkStart w:id="25" w:name="_Toc5144"/>
      <w:bookmarkStart w:id="26" w:name="_Toc468456627"/>
      <w:bookmarkStart w:id="27" w:name="_Toc28504"/>
      <w:r>
        <w:rPr>
          <w:rFonts w:hint="eastAsia"/>
          <w:color w:val="auto"/>
          <w:sz w:val="22"/>
          <w:szCs w:val="21"/>
          <w:highlight w:val="none"/>
        </w:rPr>
        <w:t>（一）评</w:t>
      </w:r>
      <w:r>
        <w:rPr>
          <w:rFonts w:hint="eastAsia"/>
          <w:color w:val="auto"/>
          <w:kern w:val="2"/>
          <w:sz w:val="22"/>
          <w:szCs w:val="21"/>
          <w:highlight w:val="none"/>
        </w:rPr>
        <w:t>审</w:t>
      </w:r>
      <w:r>
        <w:rPr>
          <w:rFonts w:hint="eastAsia"/>
          <w:color w:val="auto"/>
          <w:sz w:val="22"/>
          <w:szCs w:val="21"/>
          <w:highlight w:val="none"/>
        </w:rPr>
        <w:t>方法</w:t>
      </w:r>
      <w:bookmarkEnd w:id="25"/>
      <w:bookmarkEnd w:id="26"/>
      <w:bookmarkEnd w:id="27"/>
    </w:p>
    <w:p w14:paraId="52F78A3A">
      <w:pPr>
        <w:pStyle w:val="2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highlight w:val="none"/>
        </w:rPr>
      </w:pPr>
      <w:r>
        <w:rPr>
          <w:rFonts w:hint="eastAsia" w:ascii="宋体" w:hAnsi="宋体" w:eastAsia="宋体"/>
          <w:sz w:val="24"/>
          <w:highlight w:val="none"/>
        </w:rPr>
        <w:t>本项目采取综合评分法，指在最大限度地满足磋商文件实质性要求的前提下（即通过评委会初审），按照磋商文件中规定的评分标准进行综合评审后，按评审后得分由高到低的顺序推荐1-3名中标候选人。得分相同的，按报价由低到高顺序排列。得分且报价相同的，按技术部分得分由高到低顺序排列。</w:t>
      </w:r>
    </w:p>
    <w:p w14:paraId="65CBF9D8">
      <w:pPr>
        <w:pStyle w:val="193"/>
        <w:numPr>
          <w:ilvl w:val="0"/>
          <w:numId w:val="0"/>
        </w:numPr>
        <w:spacing w:line="360" w:lineRule="auto"/>
        <w:ind w:firstLine="442" w:firstLineChars="200"/>
        <w:rPr>
          <w:rFonts w:hint="eastAsia"/>
          <w:color w:val="auto"/>
          <w:sz w:val="22"/>
          <w:szCs w:val="21"/>
          <w:highlight w:val="none"/>
        </w:rPr>
      </w:pPr>
      <w:bookmarkStart w:id="28" w:name="_Toc468456628"/>
      <w:bookmarkStart w:id="29" w:name="_Toc27248"/>
      <w:bookmarkStart w:id="30" w:name="_Toc14211"/>
      <w:r>
        <w:rPr>
          <w:rFonts w:hint="eastAsia"/>
          <w:color w:val="auto"/>
          <w:sz w:val="22"/>
          <w:szCs w:val="21"/>
          <w:highlight w:val="none"/>
        </w:rPr>
        <w:t>（二）评分标准</w:t>
      </w:r>
      <w:bookmarkEnd w:id="28"/>
      <w:bookmarkEnd w:id="29"/>
      <w:bookmarkEnd w:id="30"/>
    </w:p>
    <w:p w14:paraId="04526F8D">
      <w:pPr>
        <w:pStyle w:val="2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highlight w:val="none"/>
        </w:rPr>
      </w:pPr>
      <w:r>
        <w:rPr>
          <w:rFonts w:hint="eastAsia" w:ascii="宋体" w:hAnsi="宋体" w:eastAsia="宋体"/>
          <w:sz w:val="24"/>
          <w:highlight w:val="none"/>
        </w:rPr>
        <w:t>综合评分法是指对磋商文件做出了实质性响应磋商响应文件进行评审打分（满分100分）。具体评分因素、评分标准及分值如下：</w:t>
      </w:r>
      <w:bookmarkStart w:id="31" w:name="_Toc17614"/>
      <w:r>
        <w:rPr>
          <w:rFonts w:hint="eastAsia" w:ascii="宋体" w:hAnsi="宋体" w:eastAsia="宋体"/>
          <w:sz w:val="24"/>
          <w:highlight w:val="none"/>
        </w:rPr>
        <w:t>（详细的评分标准）</w:t>
      </w:r>
    </w:p>
    <w:tbl>
      <w:tblPr>
        <w:tblStyle w:val="77"/>
        <w:tblW w:w="9449" w:type="dxa"/>
        <w:tblInd w:w="-3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30"/>
        <w:gridCol w:w="1584"/>
        <w:gridCol w:w="5602"/>
        <w:gridCol w:w="833"/>
      </w:tblGrid>
      <w:tr w14:paraId="329BD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1430" w:type="dxa"/>
            <w:vAlign w:val="center"/>
          </w:tcPr>
          <w:p w14:paraId="4F0A0636">
            <w:pPr>
              <w:widowControl/>
              <w:spacing w:line="360" w:lineRule="auto"/>
              <w:jc w:val="center"/>
              <w:rPr>
                <w:rFonts w:hint="eastAsia" w:ascii="宋体" w:hAnsi="宋体"/>
                <w:b/>
                <w:bCs/>
                <w:color w:val="auto"/>
                <w:kern w:val="0"/>
                <w:szCs w:val="21"/>
                <w:highlight w:val="none"/>
              </w:rPr>
            </w:pPr>
            <w:r>
              <w:rPr>
                <w:rFonts w:hint="eastAsia" w:ascii="宋体" w:hAnsi="宋体"/>
                <w:b/>
                <w:bCs/>
                <w:color w:val="auto"/>
                <w:kern w:val="0"/>
                <w:szCs w:val="21"/>
                <w:highlight w:val="none"/>
              </w:rPr>
              <w:t>评分类别</w:t>
            </w:r>
          </w:p>
        </w:tc>
        <w:tc>
          <w:tcPr>
            <w:tcW w:w="1584" w:type="dxa"/>
            <w:vAlign w:val="center"/>
          </w:tcPr>
          <w:p w14:paraId="1E526736">
            <w:pPr>
              <w:widowControl/>
              <w:spacing w:line="360" w:lineRule="auto"/>
              <w:jc w:val="center"/>
              <w:rPr>
                <w:rFonts w:hint="eastAsia" w:ascii="宋体" w:hAnsi="宋体"/>
                <w:b/>
                <w:bCs/>
                <w:color w:val="auto"/>
                <w:kern w:val="0"/>
                <w:szCs w:val="21"/>
                <w:highlight w:val="none"/>
              </w:rPr>
            </w:pPr>
            <w:r>
              <w:rPr>
                <w:rFonts w:hint="eastAsia" w:ascii="宋体" w:hAnsi="宋体"/>
                <w:b/>
                <w:bCs/>
                <w:color w:val="auto"/>
                <w:kern w:val="0"/>
                <w:szCs w:val="21"/>
                <w:highlight w:val="none"/>
              </w:rPr>
              <w:t>评分因素</w:t>
            </w:r>
          </w:p>
        </w:tc>
        <w:tc>
          <w:tcPr>
            <w:tcW w:w="5602" w:type="dxa"/>
            <w:vAlign w:val="center"/>
          </w:tcPr>
          <w:p w14:paraId="5C2B61B9">
            <w:pPr>
              <w:widowControl/>
              <w:spacing w:line="360" w:lineRule="auto"/>
              <w:jc w:val="center"/>
              <w:rPr>
                <w:rFonts w:hint="eastAsia" w:ascii="宋体" w:hAnsi="宋体"/>
                <w:b/>
                <w:bCs/>
                <w:color w:val="auto"/>
                <w:kern w:val="0"/>
                <w:szCs w:val="21"/>
                <w:highlight w:val="none"/>
              </w:rPr>
            </w:pPr>
            <w:r>
              <w:rPr>
                <w:rFonts w:hint="eastAsia" w:ascii="宋体" w:hAnsi="宋体"/>
                <w:b/>
                <w:bCs/>
                <w:color w:val="auto"/>
                <w:kern w:val="0"/>
                <w:szCs w:val="21"/>
                <w:highlight w:val="none"/>
              </w:rPr>
              <w:t>评分标准</w:t>
            </w:r>
          </w:p>
        </w:tc>
        <w:tc>
          <w:tcPr>
            <w:tcW w:w="833" w:type="dxa"/>
            <w:vAlign w:val="center"/>
          </w:tcPr>
          <w:p w14:paraId="0641C22F">
            <w:pPr>
              <w:widowControl/>
              <w:spacing w:line="360" w:lineRule="auto"/>
              <w:jc w:val="center"/>
              <w:rPr>
                <w:rFonts w:hint="eastAsia" w:ascii="宋体" w:hAnsi="宋体"/>
                <w:b/>
                <w:bCs/>
                <w:color w:val="auto"/>
                <w:kern w:val="0"/>
                <w:szCs w:val="21"/>
                <w:highlight w:val="none"/>
              </w:rPr>
            </w:pPr>
            <w:r>
              <w:rPr>
                <w:rFonts w:hint="eastAsia" w:ascii="宋体" w:hAnsi="宋体"/>
                <w:b/>
                <w:bCs/>
                <w:color w:val="auto"/>
                <w:kern w:val="0"/>
                <w:szCs w:val="21"/>
                <w:highlight w:val="none"/>
              </w:rPr>
              <w:t>分值</w:t>
            </w:r>
          </w:p>
        </w:tc>
      </w:tr>
      <w:tr w14:paraId="1B64E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67" w:hRule="atLeast"/>
        </w:trPr>
        <w:tc>
          <w:tcPr>
            <w:tcW w:w="1430" w:type="dxa"/>
            <w:vAlign w:val="center"/>
          </w:tcPr>
          <w:p w14:paraId="36B47218">
            <w:pPr>
              <w:widowControl/>
              <w:spacing w:line="360" w:lineRule="auto"/>
              <w:jc w:val="center"/>
              <w:rPr>
                <w:rFonts w:hint="eastAsia" w:ascii="宋体" w:hAnsi="宋体"/>
                <w:b/>
                <w:bCs/>
                <w:color w:val="auto"/>
                <w:kern w:val="0"/>
                <w:szCs w:val="21"/>
                <w:highlight w:val="none"/>
              </w:rPr>
            </w:pPr>
            <w:r>
              <w:rPr>
                <w:rFonts w:hint="eastAsia" w:ascii="宋体" w:hAnsi="宋体"/>
                <w:b/>
                <w:bCs/>
                <w:color w:val="auto"/>
                <w:kern w:val="0"/>
                <w:szCs w:val="21"/>
                <w:highlight w:val="none"/>
              </w:rPr>
              <w:t>商务部分</w:t>
            </w:r>
          </w:p>
          <w:p w14:paraId="662EC2B8">
            <w:pPr>
              <w:widowControl/>
              <w:spacing w:line="360" w:lineRule="auto"/>
              <w:jc w:val="center"/>
              <w:rPr>
                <w:rFonts w:hint="eastAsia" w:ascii="宋体" w:hAnsi="宋体"/>
                <w:b/>
                <w:bCs/>
                <w:color w:val="auto"/>
                <w:kern w:val="0"/>
                <w:szCs w:val="21"/>
                <w:highlight w:val="none"/>
              </w:rPr>
            </w:pPr>
            <w:r>
              <w:rPr>
                <w:rFonts w:hint="eastAsia" w:ascii="宋体" w:hAnsi="宋体"/>
                <w:b/>
                <w:bCs/>
                <w:color w:val="auto"/>
                <w:kern w:val="0"/>
                <w:szCs w:val="21"/>
                <w:highlight w:val="none"/>
                <w:lang w:val="en-US" w:eastAsia="zh-CN"/>
              </w:rPr>
              <w:t>15</w:t>
            </w:r>
            <w:r>
              <w:rPr>
                <w:rFonts w:hint="eastAsia" w:ascii="宋体" w:hAnsi="宋体"/>
                <w:b/>
                <w:bCs/>
                <w:color w:val="auto"/>
                <w:kern w:val="0"/>
                <w:szCs w:val="21"/>
                <w:highlight w:val="none"/>
              </w:rPr>
              <w:t>分</w:t>
            </w:r>
          </w:p>
        </w:tc>
        <w:tc>
          <w:tcPr>
            <w:tcW w:w="1584" w:type="dxa"/>
            <w:vAlign w:val="center"/>
          </w:tcPr>
          <w:p w14:paraId="65EF8333">
            <w:pPr>
              <w:spacing w:line="400" w:lineRule="exact"/>
              <w:jc w:val="center"/>
              <w:rPr>
                <w:rFonts w:ascii="宋体"/>
                <w:color w:val="auto"/>
                <w:kern w:val="0"/>
                <w:szCs w:val="21"/>
                <w:highlight w:val="none"/>
              </w:rPr>
            </w:pPr>
            <w:r>
              <w:rPr>
                <w:rFonts w:hint="eastAsia" w:ascii="宋体"/>
                <w:color w:val="auto"/>
                <w:kern w:val="0"/>
                <w:szCs w:val="21"/>
                <w:highlight w:val="none"/>
              </w:rPr>
              <w:t>供应商业绩</w:t>
            </w:r>
          </w:p>
        </w:tc>
        <w:tc>
          <w:tcPr>
            <w:tcW w:w="5602" w:type="dxa"/>
            <w:vAlign w:val="center"/>
          </w:tcPr>
          <w:p w14:paraId="77580885">
            <w:pPr>
              <w:spacing w:line="400" w:lineRule="exact"/>
              <w:jc w:val="left"/>
              <w:rPr>
                <w:color w:val="auto"/>
                <w:highlight w:val="none"/>
              </w:rPr>
            </w:pPr>
            <w:r>
              <w:rPr>
                <w:rFonts w:hint="eastAsia"/>
                <w:color w:val="auto"/>
                <w:highlight w:val="none"/>
              </w:rPr>
              <w:t>自202</w:t>
            </w:r>
            <w:r>
              <w:rPr>
                <w:rFonts w:hint="eastAsia"/>
                <w:color w:val="auto"/>
                <w:highlight w:val="none"/>
                <w:lang w:val="en-US" w:eastAsia="zh-CN"/>
              </w:rPr>
              <w:t>3</w:t>
            </w:r>
            <w:r>
              <w:rPr>
                <w:rFonts w:hint="eastAsia"/>
                <w:color w:val="auto"/>
                <w:highlight w:val="none"/>
              </w:rPr>
              <w:t>年1月1日（含）以来（以签订时间为准），供应商具身智能产业相关咨询或产业链招商策略咨询研究业绩。每提供一份业绩合同的扫描件或影印件得</w:t>
            </w:r>
            <w:r>
              <w:rPr>
                <w:rFonts w:hint="eastAsia"/>
                <w:color w:val="auto"/>
                <w:highlight w:val="none"/>
                <w:lang w:val="en-US" w:eastAsia="zh-CN"/>
              </w:rPr>
              <w:t>5</w:t>
            </w:r>
            <w:r>
              <w:rPr>
                <w:rFonts w:hint="eastAsia"/>
                <w:color w:val="auto"/>
                <w:highlight w:val="none"/>
              </w:rPr>
              <w:t>分，满分</w:t>
            </w:r>
            <w:r>
              <w:rPr>
                <w:rFonts w:hint="eastAsia"/>
                <w:color w:val="auto"/>
                <w:highlight w:val="none"/>
                <w:lang w:val="en-US" w:eastAsia="zh-CN"/>
              </w:rPr>
              <w:t>15</w:t>
            </w:r>
            <w:r>
              <w:rPr>
                <w:rFonts w:hint="eastAsia"/>
                <w:color w:val="auto"/>
                <w:highlight w:val="none"/>
              </w:rPr>
              <w:t>分。</w:t>
            </w:r>
          </w:p>
          <w:p w14:paraId="1DABE488">
            <w:pPr>
              <w:spacing w:line="400" w:lineRule="exact"/>
              <w:jc w:val="left"/>
              <w:rPr>
                <w:color w:val="auto"/>
                <w:highlight w:val="red"/>
              </w:rPr>
            </w:pPr>
            <w:r>
              <w:rPr>
                <w:rFonts w:hint="eastAsia"/>
                <w:color w:val="auto"/>
                <w:highlight w:val="none"/>
              </w:rPr>
              <w:t>注：1、以响应文件中提供的合同如合同内容中不能反映合同签订日期等评审要素的，另须提供能够反映合同签订日期等评审要素的有效证明材料（如合同甲方出具的证明材料）。</w:t>
            </w:r>
          </w:p>
        </w:tc>
        <w:tc>
          <w:tcPr>
            <w:tcW w:w="833" w:type="dxa"/>
            <w:vAlign w:val="center"/>
          </w:tcPr>
          <w:p w14:paraId="411B1833">
            <w:pPr>
              <w:spacing w:line="400" w:lineRule="exact"/>
              <w:jc w:val="center"/>
              <w:rPr>
                <w:rFonts w:ascii="宋体"/>
                <w:color w:val="auto"/>
                <w:kern w:val="0"/>
                <w:szCs w:val="21"/>
                <w:highlight w:val="none"/>
              </w:rPr>
            </w:pPr>
            <w:r>
              <w:rPr>
                <w:rFonts w:hint="eastAsia" w:ascii="宋体"/>
                <w:color w:val="auto"/>
                <w:kern w:val="0"/>
                <w:szCs w:val="21"/>
                <w:highlight w:val="none"/>
              </w:rPr>
              <w:t>0-</w:t>
            </w:r>
            <w:r>
              <w:rPr>
                <w:rFonts w:hint="eastAsia" w:ascii="宋体"/>
                <w:color w:val="auto"/>
                <w:kern w:val="0"/>
                <w:szCs w:val="21"/>
                <w:highlight w:val="none"/>
                <w:lang w:val="en-US" w:eastAsia="zh-CN"/>
              </w:rPr>
              <w:t>15</w:t>
            </w:r>
            <w:r>
              <w:rPr>
                <w:rFonts w:hint="eastAsia" w:ascii="宋体"/>
                <w:color w:val="auto"/>
                <w:kern w:val="0"/>
                <w:szCs w:val="21"/>
                <w:highlight w:val="none"/>
              </w:rPr>
              <w:t>分</w:t>
            </w:r>
          </w:p>
        </w:tc>
      </w:tr>
      <w:tr w14:paraId="542F4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6" w:hRule="atLeast"/>
        </w:trPr>
        <w:tc>
          <w:tcPr>
            <w:tcW w:w="1430" w:type="dxa"/>
            <w:vMerge w:val="restart"/>
            <w:vAlign w:val="center"/>
          </w:tcPr>
          <w:p w14:paraId="6299EC30">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技术部分</w:t>
            </w:r>
          </w:p>
          <w:p w14:paraId="5BE5A3BA">
            <w:pPr>
              <w:widowControl/>
              <w:spacing w:line="360" w:lineRule="auto"/>
              <w:jc w:val="center"/>
              <w:rPr>
                <w:rFonts w:hint="eastAsia" w:ascii="宋体" w:hAnsi="宋体"/>
                <w:b/>
                <w:bCs/>
                <w:color w:val="auto"/>
                <w:kern w:val="0"/>
                <w:szCs w:val="21"/>
                <w:highlight w:val="none"/>
              </w:rPr>
            </w:pPr>
            <w:r>
              <w:rPr>
                <w:rFonts w:hint="eastAsia" w:ascii="宋体" w:hAnsi="宋体" w:cs="宋体"/>
                <w:b/>
                <w:color w:val="auto"/>
                <w:kern w:val="0"/>
                <w:szCs w:val="21"/>
                <w:highlight w:val="none"/>
                <w:lang w:val="en-US" w:eastAsia="zh-CN"/>
              </w:rPr>
              <w:t>65</w:t>
            </w:r>
            <w:r>
              <w:rPr>
                <w:rFonts w:hint="eastAsia" w:ascii="宋体" w:hAnsi="宋体" w:cs="宋体"/>
                <w:b/>
                <w:color w:val="auto"/>
                <w:kern w:val="0"/>
                <w:szCs w:val="21"/>
                <w:highlight w:val="none"/>
              </w:rPr>
              <w:t>分</w:t>
            </w:r>
          </w:p>
        </w:tc>
        <w:tc>
          <w:tcPr>
            <w:tcW w:w="1584" w:type="dxa"/>
            <w:vAlign w:val="center"/>
          </w:tcPr>
          <w:p w14:paraId="1CFFB76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color w:val="auto"/>
                <w:kern w:val="0"/>
                <w:szCs w:val="21"/>
                <w:highlight w:val="none"/>
                <w:lang w:val="en-US" w:eastAsia="zh-CN"/>
              </w:rPr>
            </w:pPr>
            <w:bookmarkStart w:id="32" w:name="OLE_LINK5"/>
            <w:r>
              <w:rPr>
                <w:rFonts w:hint="eastAsia" w:ascii="宋体"/>
                <w:color w:val="auto"/>
                <w:kern w:val="0"/>
                <w:szCs w:val="21"/>
                <w:highlight w:val="none"/>
                <w:lang w:val="en-US" w:eastAsia="zh-CN"/>
              </w:rPr>
              <w:t>项目背景理解</w:t>
            </w:r>
            <w:bookmarkEnd w:id="32"/>
          </w:p>
        </w:tc>
        <w:tc>
          <w:tcPr>
            <w:tcW w:w="5602" w:type="dxa"/>
            <w:vAlign w:val="top"/>
          </w:tcPr>
          <w:p w14:paraId="483CE712">
            <w:pPr>
              <w:spacing w:line="400" w:lineRule="exact"/>
              <w:jc w:val="left"/>
              <w:rPr>
                <w:rFonts w:hint="eastAsia"/>
                <w:color w:val="auto"/>
                <w:highlight w:val="none"/>
                <w:lang w:val="en-US" w:eastAsia="zh-CN"/>
              </w:rPr>
            </w:pPr>
            <w:r>
              <w:rPr>
                <w:rFonts w:hint="eastAsia"/>
                <w:color w:val="auto"/>
                <w:highlight w:val="none"/>
                <w:lang w:val="en-US" w:eastAsia="zh-CN"/>
              </w:rPr>
              <w:t>磋商小组根据供应商对</w:t>
            </w:r>
            <w:r>
              <w:rPr>
                <w:rFonts w:hint="eastAsia" w:ascii="宋体"/>
                <w:color w:val="auto"/>
                <w:kern w:val="0"/>
                <w:szCs w:val="21"/>
                <w:highlight w:val="none"/>
                <w:lang w:val="en-US" w:eastAsia="zh-CN"/>
              </w:rPr>
              <w:t>项目背景理解</w:t>
            </w:r>
            <w:r>
              <w:rPr>
                <w:rFonts w:hint="eastAsia"/>
                <w:color w:val="auto"/>
                <w:highlight w:val="none"/>
                <w:lang w:val="en-US" w:eastAsia="zh-CN"/>
              </w:rPr>
              <w:t>进行打分，包括背景解读、关键点及指引的理解阐述等方面。</w:t>
            </w:r>
          </w:p>
          <w:p w14:paraId="6F668D4B">
            <w:pPr>
              <w:spacing w:line="400" w:lineRule="exact"/>
              <w:jc w:val="left"/>
              <w:rPr>
                <w:rFonts w:hint="eastAsia"/>
                <w:color w:val="auto"/>
                <w:highlight w:val="none"/>
                <w:lang w:val="en-US" w:eastAsia="zh-CN"/>
              </w:rPr>
            </w:pPr>
            <w:r>
              <w:rPr>
                <w:rFonts w:hint="eastAsia"/>
                <w:color w:val="auto"/>
                <w:highlight w:val="none"/>
                <w:lang w:val="en-US" w:eastAsia="zh-CN"/>
              </w:rPr>
              <w:t>1. 对本项目背景解读全面、关键点准确、</w:t>
            </w:r>
            <w:bookmarkStart w:id="33" w:name="OLE_LINK6"/>
            <w:r>
              <w:rPr>
                <w:rFonts w:hint="eastAsia"/>
                <w:color w:val="auto"/>
                <w:highlight w:val="none"/>
                <w:lang w:val="en-US" w:eastAsia="zh-CN"/>
              </w:rPr>
              <w:t>指引</w:t>
            </w:r>
            <w:bookmarkEnd w:id="33"/>
            <w:r>
              <w:rPr>
                <w:rFonts w:hint="eastAsia"/>
                <w:color w:val="auto"/>
                <w:highlight w:val="none"/>
                <w:lang w:val="en-US" w:eastAsia="zh-CN"/>
              </w:rPr>
              <w:t>清晰，对项目背景的分析方案详细、合理且切合项目需求，优于本项目采购相关要求，完整详细，可行性、实用性、针对性强，得5分；</w:t>
            </w:r>
          </w:p>
          <w:p w14:paraId="7F9AEEFC">
            <w:pPr>
              <w:spacing w:line="400" w:lineRule="exact"/>
              <w:jc w:val="left"/>
              <w:rPr>
                <w:rFonts w:hint="eastAsia"/>
                <w:color w:val="auto"/>
                <w:highlight w:val="none"/>
                <w:lang w:val="en-US" w:eastAsia="zh-CN"/>
              </w:rPr>
            </w:pPr>
            <w:r>
              <w:rPr>
                <w:rFonts w:hint="eastAsia"/>
                <w:color w:val="auto"/>
                <w:highlight w:val="none"/>
                <w:lang w:val="en-US" w:eastAsia="zh-CN"/>
              </w:rPr>
              <w:t>2. 对本项目背景解读合格、能发掘基本特色，对项目背景的分析方案详细、合理且适合本项目采购相关要求，完整详细，具有可行性、实用性、针对性，得3分；</w:t>
            </w:r>
          </w:p>
          <w:p w14:paraId="6976141B">
            <w:pPr>
              <w:spacing w:line="400" w:lineRule="exact"/>
              <w:jc w:val="left"/>
              <w:rPr>
                <w:rFonts w:hint="eastAsia"/>
                <w:color w:val="auto"/>
                <w:highlight w:val="none"/>
                <w:lang w:val="en-US" w:eastAsia="zh-CN"/>
              </w:rPr>
            </w:pPr>
            <w:r>
              <w:rPr>
                <w:rFonts w:hint="eastAsia"/>
                <w:color w:val="auto"/>
                <w:highlight w:val="none"/>
                <w:lang w:val="en-US" w:eastAsia="zh-CN"/>
              </w:rPr>
              <w:t>3. 对本项目背景认识有偏差，对项目背景的分析方案基本适合本项目采购相关要求，可行性、实用性、针对性有待改善，得1分；</w:t>
            </w:r>
          </w:p>
          <w:p w14:paraId="26924A48">
            <w:pPr>
              <w:spacing w:line="400" w:lineRule="exact"/>
              <w:jc w:val="left"/>
              <w:rPr>
                <w:rFonts w:hint="eastAsia"/>
                <w:color w:val="auto"/>
                <w:highlight w:val="none"/>
              </w:rPr>
            </w:pPr>
            <w:r>
              <w:rPr>
                <w:rFonts w:hint="eastAsia"/>
                <w:color w:val="auto"/>
                <w:highlight w:val="none"/>
                <w:lang w:val="en-US" w:eastAsia="zh-CN"/>
              </w:rPr>
              <w:t>4. 未提供本项目背景解读及分析方案的不得分。</w:t>
            </w:r>
          </w:p>
        </w:tc>
        <w:tc>
          <w:tcPr>
            <w:tcW w:w="833" w:type="dxa"/>
            <w:vAlign w:val="center"/>
          </w:tcPr>
          <w:p w14:paraId="3B8594F5">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eastAsia" w:ascii="宋体" w:hAnsi="宋体"/>
                <w:color w:val="auto"/>
                <w:szCs w:val="21"/>
                <w:highlight w:val="none"/>
              </w:rPr>
            </w:pPr>
            <w:r>
              <w:rPr>
                <w:rFonts w:ascii="宋体" w:hAnsi="宋体" w:eastAsia="宋体" w:cs="宋体"/>
                <w:kern w:val="0"/>
                <w:sz w:val="20"/>
                <w:szCs w:val="20"/>
                <w:lang w:val="en-US" w:eastAsia="zh-CN" w:bidi="ar"/>
              </w:rPr>
              <w:t>0-5分</w:t>
            </w:r>
          </w:p>
        </w:tc>
      </w:tr>
      <w:tr w14:paraId="7AF23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430" w:type="dxa"/>
            <w:vMerge w:val="continue"/>
            <w:vAlign w:val="center"/>
          </w:tcPr>
          <w:p w14:paraId="5CC471E9">
            <w:pPr>
              <w:widowControl/>
              <w:spacing w:line="360" w:lineRule="auto"/>
              <w:jc w:val="center"/>
              <w:rPr>
                <w:rFonts w:hint="eastAsia" w:ascii="宋体" w:hAnsi="宋体" w:cs="宋体"/>
                <w:b/>
                <w:color w:val="auto"/>
                <w:kern w:val="0"/>
                <w:szCs w:val="21"/>
                <w:highlight w:val="none"/>
                <w:lang w:val="en-US" w:eastAsia="zh-CN"/>
              </w:rPr>
            </w:pPr>
          </w:p>
        </w:tc>
        <w:tc>
          <w:tcPr>
            <w:tcW w:w="1584" w:type="dxa"/>
            <w:tcBorders>
              <w:top w:val="single" w:color="000000" w:sz="4" w:space="0"/>
              <w:left w:val="single" w:color="000000" w:sz="4" w:space="0"/>
              <w:bottom w:val="single" w:color="000000" w:sz="4" w:space="0"/>
              <w:right w:val="single" w:color="000000" w:sz="4" w:space="0"/>
            </w:tcBorders>
            <w:vAlign w:val="center"/>
          </w:tcPr>
          <w:p w14:paraId="305BE26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olor w:val="auto"/>
                <w:kern w:val="0"/>
                <w:szCs w:val="21"/>
                <w:highlight w:val="none"/>
              </w:rPr>
            </w:pPr>
            <w:r>
              <w:rPr>
                <w:rFonts w:hint="eastAsia" w:ascii="宋体"/>
                <w:color w:val="auto"/>
                <w:kern w:val="0"/>
                <w:szCs w:val="21"/>
                <w:highlight w:val="none"/>
                <w:lang w:val="en-US" w:eastAsia="zh-CN"/>
              </w:rPr>
              <w:t>项目的合理性</w:t>
            </w:r>
          </w:p>
        </w:tc>
        <w:tc>
          <w:tcPr>
            <w:tcW w:w="5602" w:type="dxa"/>
            <w:tcBorders>
              <w:top w:val="single" w:color="000000" w:sz="4" w:space="0"/>
              <w:left w:val="single" w:color="000000" w:sz="4" w:space="0"/>
              <w:bottom w:val="single" w:color="000000" w:sz="4" w:space="0"/>
              <w:right w:val="single" w:color="000000" w:sz="4" w:space="0"/>
            </w:tcBorders>
            <w:vAlign w:val="top"/>
          </w:tcPr>
          <w:p w14:paraId="6F92C101">
            <w:pPr>
              <w:spacing w:line="400" w:lineRule="exact"/>
              <w:jc w:val="left"/>
              <w:rPr>
                <w:rFonts w:hint="eastAsia"/>
                <w:color w:val="auto"/>
                <w:highlight w:val="none"/>
                <w:lang w:val="en-US" w:eastAsia="zh-CN"/>
              </w:rPr>
            </w:pPr>
            <w:r>
              <w:rPr>
                <w:rFonts w:hint="eastAsia"/>
                <w:color w:val="auto"/>
                <w:highlight w:val="none"/>
                <w:lang w:val="en-US" w:eastAsia="zh-CN"/>
              </w:rPr>
              <w:t>磋商小组根据供应商对</w:t>
            </w:r>
            <w:r>
              <w:rPr>
                <w:rFonts w:hint="eastAsia" w:ascii="宋体"/>
                <w:color w:val="auto"/>
                <w:kern w:val="0"/>
                <w:szCs w:val="21"/>
                <w:highlight w:val="none"/>
                <w:lang w:val="en-US" w:eastAsia="zh-CN"/>
              </w:rPr>
              <w:t>项目的合理性</w:t>
            </w:r>
            <w:r>
              <w:rPr>
                <w:rFonts w:hint="eastAsia"/>
                <w:color w:val="auto"/>
                <w:highlight w:val="none"/>
                <w:lang w:val="en-US" w:eastAsia="zh-CN"/>
              </w:rPr>
              <w:t>进行打分，包括合理性阐述等方面。</w:t>
            </w:r>
          </w:p>
          <w:p w14:paraId="53C040B4">
            <w:pPr>
              <w:spacing w:line="400" w:lineRule="exact"/>
              <w:jc w:val="left"/>
              <w:rPr>
                <w:rFonts w:hint="eastAsia"/>
                <w:color w:val="auto"/>
                <w:highlight w:val="none"/>
                <w:lang w:val="en-US" w:eastAsia="zh-CN"/>
              </w:rPr>
            </w:pPr>
            <w:r>
              <w:rPr>
                <w:rFonts w:hint="eastAsia"/>
                <w:color w:val="auto"/>
                <w:highlight w:val="none"/>
                <w:lang w:val="en-US" w:eastAsia="zh-CN"/>
              </w:rPr>
              <w:t>1. 对本项目的合理性分析理解准确，项目目标明确、高度契合本项目采购需求，分析方案详细、合理且切合项目实际，优于本项目采购需求，完整详细，可行性、实用性、针对性强，得5分；</w:t>
            </w:r>
          </w:p>
          <w:p w14:paraId="60160456">
            <w:pPr>
              <w:spacing w:line="400" w:lineRule="exact"/>
              <w:jc w:val="left"/>
              <w:rPr>
                <w:rFonts w:hint="eastAsia"/>
                <w:color w:val="auto"/>
                <w:highlight w:val="none"/>
                <w:lang w:val="en-US" w:eastAsia="zh-CN"/>
              </w:rPr>
            </w:pPr>
            <w:r>
              <w:rPr>
                <w:rFonts w:hint="eastAsia"/>
                <w:color w:val="auto"/>
                <w:highlight w:val="none"/>
                <w:lang w:val="en-US" w:eastAsia="zh-CN"/>
              </w:rPr>
              <w:t>2. 对本项目的合理性分析理解基本准确，项目目标较明确、基本符合本项目采购需求，分析方案详细、合理且适合本项目采购需求，完整详细，具有可行性、实用性、针对性，得3分；3. 对本项目的合理性分析理解有待提升，项目目标基本可行、略有偏差，分析方案基本适合本项目采购需求，可行性、实用性、针对性有待改善，得1分；</w:t>
            </w:r>
          </w:p>
          <w:p w14:paraId="033FE05E">
            <w:pPr>
              <w:spacing w:line="400" w:lineRule="exact"/>
              <w:jc w:val="left"/>
              <w:rPr>
                <w:rFonts w:hint="eastAsia"/>
                <w:color w:val="auto"/>
                <w:highlight w:val="none"/>
              </w:rPr>
            </w:pPr>
            <w:r>
              <w:rPr>
                <w:rFonts w:hint="eastAsia"/>
                <w:color w:val="auto"/>
                <w:highlight w:val="none"/>
                <w:lang w:val="en-US" w:eastAsia="zh-CN"/>
              </w:rPr>
              <w:t>4. 未提供本项目合理性分析相关内容的不得分。</w:t>
            </w:r>
          </w:p>
        </w:tc>
        <w:tc>
          <w:tcPr>
            <w:tcW w:w="833" w:type="dxa"/>
            <w:tcBorders>
              <w:top w:val="single" w:color="000000" w:sz="4" w:space="0"/>
              <w:left w:val="single" w:color="000000" w:sz="4" w:space="0"/>
              <w:bottom w:val="single" w:color="000000" w:sz="4" w:space="0"/>
              <w:right w:val="single" w:color="000000" w:sz="4" w:space="0"/>
            </w:tcBorders>
            <w:vAlign w:val="center"/>
          </w:tcPr>
          <w:p w14:paraId="195638B1">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eastAsia" w:ascii="宋体" w:hAnsi="宋体"/>
                <w:color w:val="auto"/>
                <w:szCs w:val="21"/>
                <w:highlight w:val="none"/>
              </w:rPr>
            </w:pPr>
            <w:r>
              <w:rPr>
                <w:rFonts w:ascii="宋体" w:hAnsi="宋体" w:eastAsia="宋体" w:cs="宋体"/>
                <w:kern w:val="0"/>
                <w:sz w:val="20"/>
                <w:szCs w:val="20"/>
                <w:lang w:val="en-US" w:eastAsia="zh-CN" w:bidi="ar"/>
              </w:rPr>
              <w:t>0-5分</w:t>
            </w:r>
          </w:p>
        </w:tc>
      </w:tr>
      <w:tr w14:paraId="1BE89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1430" w:type="dxa"/>
            <w:vMerge w:val="continue"/>
            <w:vAlign w:val="center"/>
          </w:tcPr>
          <w:p w14:paraId="64B1D0D3">
            <w:pPr>
              <w:widowControl/>
              <w:spacing w:line="360" w:lineRule="auto"/>
              <w:jc w:val="center"/>
              <w:rPr>
                <w:rFonts w:hint="eastAsia" w:ascii="宋体" w:hAnsi="宋体" w:cs="宋体"/>
                <w:b/>
                <w:color w:val="auto"/>
                <w:kern w:val="0"/>
                <w:szCs w:val="21"/>
                <w:highlight w:val="none"/>
              </w:rPr>
            </w:pPr>
          </w:p>
        </w:tc>
        <w:tc>
          <w:tcPr>
            <w:tcW w:w="1584" w:type="dxa"/>
            <w:tcBorders>
              <w:top w:val="single" w:color="000000" w:sz="4" w:space="0"/>
              <w:left w:val="single" w:color="000000" w:sz="4" w:space="0"/>
              <w:bottom w:val="single" w:color="000000" w:sz="4" w:space="0"/>
              <w:right w:val="single" w:color="000000" w:sz="4" w:space="0"/>
            </w:tcBorders>
            <w:vAlign w:val="center"/>
          </w:tcPr>
          <w:p w14:paraId="47C72DF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olor w:val="auto"/>
                <w:kern w:val="0"/>
                <w:szCs w:val="21"/>
                <w:highlight w:val="none"/>
              </w:rPr>
            </w:pPr>
            <w:r>
              <w:rPr>
                <w:rFonts w:hint="eastAsia" w:ascii="宋体"/>
                <w:color w:val="auto"/>
                <w:kern w:val="0"/>
                <w:szCs w:val="21"/>
                <w:highlight w:val="none"/>
                <w:lang w:val="en-US" w:eastAsia="zh-CN"/>
              </w:rPr>
              <w:t>项目基本情况分析</w:t>
            </w:r>
          </w:p>
        </w:tc>
        <w:tc>
          <w:tcPr>
            <w:tcW w:w="5602" w:type="dxa"/>
            <w:tcBorders>
              <w:top w:val="single" w:color="000000" w:sz="4" w:space="0"/>
              <w:left w:val="single" w:color="000000" w:sz="4" w:space="0"/>
              <w:bottom w:val="single" w:color="000000" w:sz="4" w:space="0"/>
              <w:right w:val="single" w:color="000000" w:sz="4" w:space="0"/>
            </w:tcBorders>
            <w:vAlign w:val="top"/>
          </w:tcPr>
          <w:p w14:paraId="2943AB00">
            <w:pPr>
              <w:spacing w:line="400" w:lineRule="exact"/>
              <w:jc w:val="left"/>
              <w:rPr>
                <w:rFonts w:hint="eastAsia"/>
                <w:color w:val="auto"/>
                <w:highlight w:val="none"/>
                <w:lang w:val="en-US" w:eastAsia="zh-CN"/>
              </w:rPr>
            </w:pPr>
            <w:r>
              <w:rPr>
                <w:rFonts w:hint="eastAsia"/>
                <w:color w:val="auto"/>
                <w:highlight w:val="none"/>
                <w:lang w:val="en-US" w:eastAsia="zh-CN"/>
              </w:rPr>
              <w:t>磋商小组根据供应商对</w:t>
            </w:r>
            <w:r>
              <w:rPr>
                <w:rFonts w:hint="eastAsia" w:ascii="宋体"/>
                <w:color w:val="auto"/>
                <w:kern w:val="0"/>
                <w:szCs w:val="21"/>
                <w:highlight w:val="none"/>
                <w:lang w:val="en-US" w:eastAsia="zh-CN"/>
              </w:rPr>
              <w:t>项目基本情况分析</w:t>
            </w:r>
            <w:r>
              <w:rPr>
                <w:rFonts w:hint="eastAsia"/>
                <w:color w:val="auto"/>
                <w:highlight w:val="none"/>
                <w:lang w:val="en-US" w:eastAsia="zh-CN"/>
              </w:rPr>
              <w:t>进行打分，包括基本情况分析理解准确，分析内容阐述等方面。</w:t>
            </w:r>
          </w:p>
          <w:p w14:paraId="49672BB1">
            <w:pPr>
              <w:spacing w:line="400" w:lineRule="exact"/>
              <w:jc w:val="left"/>
              <w:rPr>
                <w:rFonts w:hint="eastAsia"/>
                <w:color w:val="auto"/>
                <w:highlight w:val="none"/>
                <w:lang w:val="en-US" w:eastAsia="zh-CN"/>
              </w:rPr>
            </w:pPr>
            <w:r>
              <w:rPr>
                <w:rFonts w:hint="eastAsia"/>
                <w:color w:val="auto"/>
                <w:highlight w:val="none"/>
                <w:lang w:val="en-US" w:eastAsia="zh-CN"/>
              </w:rPr>
              <w:t>1. 对本项目区基本情况分析理解准确，分析内容扎实、符合项目实际，分析方案详细、合理且切合项目需求，优于本项目采购相关要求，完整详细，可行性、实用性、针对性强，得5分；</w:t>
            </w:r>
          </w:p>
          <w:p w14:paraId="75333382">
            <w:pPr>
              <w:spacing w:line="400" w:lineRule="exact"/>
              <w:jc w:val="left"/>
              <w:rPr>
                <w:rFonts w:hint="eastAsia"/>
                <w:color w:val="auto"/>
                <w:highlight w:val="none"/>
                <w:lang w:val="en-US" w:eastAsia="zh-CN"/>
              </w:rPr>
            </w:pPr>
            <w:r>
              <w:rPr>
                <w:rFonts w:hint="eastAsia"/>
                <w:color w:val="auto"/>
                <w:highlight w:val="none"/>
                <w:lang w:val="en-US" w:eastAsia="zh-CN"/>
              </w:rPr>
              <w:t>2. 对本项目区基本情况分析理解基本准确，分析内容基本扎实、基本符合项目实际，分析方案详细、合理且适合本项目采购相关要求，完整详细，具有可行性、实用性、针对性，得3分；</w:t>
            </w:r>
          </w:p>
          <w:p w14:paraId="62F69E73">
            <w:pPr>
              <w:spacing w:line="400" w:lineRule="exact"/>
              <w:jc w:val="left"/>
              <w:rPr>
                <w:rFonts w:hint="eastAsia"/>
                <w:color w:val="auto"/>
                <w:highlight w:val="none"/>
                <w:lang w:val="en-US" w:eastAsia="zh-CN"/>
              </w:rPr>
            </w:pPr>
            <w:r>
              <w:rPr>
                <w:rFonts w:hint="eastAsia"/>
                <w:color w:val="auto"/>
                <w:highlight w:val="none"/>
                <w:lang w:val="en-US" w:eastAsia="zh-CN"/>
              </w:rPr>
              <w:t>3. 对本项目区基本情况分析理解有待提升，分析内容一般，分析方案基本适合本项目采购相关要求，可行性、实用性、针对性有待改善，得1分；</w:t>
            </w:r>
          </w:p>
          <w:p w14:paraId="5A8F2D19">
            <w:pPr>
              <w:spacing w:line="400" w:lineRule="exact"/>
              <w:jc w:val="left"/>
              <w:rPr>
                <w:rFonts w:hint="eastAsia"/>
                <w:color w:val="auto"/>
                <w:highlight w:val="none"/>
              </w:rPr>
            </w:pPr>
            <w:r>
              <w:rPr>
                <w:rFonts w:hint="eastAsia"/>
                <w:color w:val="auto"/>
                <w:highlight w:val="none"/>
                <w:lang w:val="en-US" w:eastAsia="zh-CN"/>
              </w:rPr>
              <w:t>4. 未提供本项目区基本情况分析相关内容的不得分。</w:t>
            </w:r>
          </w:p>
        </w:tc>
        <w:tc>
          <w:tcPr>
            <w:tcW w:w="833" w:type="dxa"/>
            <w:tcBorders>
              <w:top w:val="single" w:color="000000" w:sz="4" w:space="0"/>
              <w:left w:val="single" w:color="000000" w:sz="4" w:space="0"/>
              <w:bottom w:val="single" w:color="000000" w:sz="4" w:space="0"/>
              <w:right w:val="single" w:color="000000" w:sz="4" w:space="0"/>
            </w:tcBorders>
            <w:vAlign w:val="center"/>
          </w:tcPr>
          <w:p w14:paraId="110A894B">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eastAsia" w:ascii="宋体" w:hAnsi="宋体"/>
                <w:color w:val="auto"/>
                <w:sz w:val="24"/>
                <w:highlight w:val="none"/>
                <w:lang w:eastAsia="en-US"/>
              </w:rPr>
            </w:pPr>
            <w:r>
              <w:rPr>
                <w:rFonts w:ascii="宋体" w:hAnsi="宋体" w:eastAsia="宋体" w:cs="宋体"/>
                <w:kern w:val="0"/>
                <w:sz w:val="20"/>
                <w:szCs w:val="20"/>
                <w:lang w:val="en-US" w:eastAsia="zh-CN" w:bidi="ar"/>
              </w:rPr>
              <w:t>0-5分</w:t>
            </w:r>
          </w:p>
        </w:tc>
      </w:tr>
      <w:tr w14:paraId="43733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9" w:hRule="atLeast"/>
        </w:trPr>
        <w:tc>
          <w:tcPr>
            <w:tcW w:w="1430" w:type="dxa"/>
            <w:vMerge w:val="continue"/>
            <w:vAlign w:val="center"/>
          </w:tcPr>
          <w:p w14:paraId="19F28388">
            <w:pPr>
              <w:widowControl/>
              <w:spacing w:line="360" w:lineRule="auto"/>
              <w:jc w:val="center"/>
              <w:rPr>
                <w:rFonts w:hint="eastAsia" w:ascii="宋体" w:hAnsi="宋体" w:cs="宋体"/>
                <w:b/>
                <w:color w:val="auto"/>
                <w:kern w:val="0"/>
                <w:szCs w:val="21"/>
                <w:highlight w:val="none"/>
              </w:rPr>
            </w:pPr>
          </w:p>
        </w:tc>
        <w:tc>
          <w:tcPr>
            <w:tcW w:w="1584" w:type="dxa"/>
            <w:tcBorders>
              <w:top w:val="single" w:color="000000" w:sz="4" w:space="0"/>
              <w:left w:val="single" w:color="000000" w:sz="4" w:space="0"/>
              <w:bottom w:val="single" w:color="000000" w:sz="4" w:space="0"/>
              <w:right w:val="single" w:color="000000" w:sz="4" w:space="0"/>
            </w:tcBorders>
            <w:vAlign w:val="center"/>
          </w:tcPr>
          <w:p w14:paraId="4E06C5D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olor w:val="auto"/>
                <w:kern w:val="0"/>
                <w:szCs w:val="21"/>
                <w:highlight w:val="none"/>
              </w:rPr>
            </w:pPr>
            <w:r>
              <w:rPr>
                <w:rFonts w:hint="eastAsia" w:ascii="宋体"/>
                <w:color w:val="auto"/>
                <w:kern w:val="0"/>
                <w:szCs w:val="21"/>
                <w:highlight w:val="none"/>
                <w:lang w:val="en-US" w:eastAsia="zh-CN"/>
              </w:rPr>
              <w:t>数据收集与分析</w:t>
            </w:r>
          </w:p>
        </w:tc>
        <w:tc>
          <w:tcPr>
            <w:tcW w:w="5602" w:type="dxa"/>
            <w:tcBorders>
              <w:top w:val="single" w:color="000000" w:sz="4" w:space="0"/>
              <w:left w:val="single" w:color="000000" w:sz="4" w:space="0"/>
              <w:bottom w:val="single" w:color="000000" w:sz="4" w:space="0"/>
              <w:right w:val="single" w:color="000000" w:sz="4" w:space="0"/>
            </w:tcBorders>
            <w:vAlign w:val="top"/>
          </w:tcPr>
          <w:p w14:paraId="77A20AF3">
            <w:pPr>
              <w:spacing w:line="400" w:lineRule="exact"/>
              <w:jc w:val="left"/>
              <w:rPr>
                <w:rFonts w:hint="eastAsia"/>
                <w:color w:val="auto"/>
                <w:highlight w:val="none"/>
                <w:lang w:val="en-US" w:eastAsia="zh-CN"/>
              </w:rPr>
            </w:pPr>
            <w:r>
              <w:rPr>
                <w:rFonts w:hint="eastAsia"/>
                <w:color w:val="auto"/>
                <w:highlight w:val="none"/>
                <w:lang w:val="en-US" w:eastAsia="zh-CN"/>
              </w:rPr>
              <w:t>磋商小组根据供应商对</w:t>
            </w:r>
            <w:r>
              <w:rPr>
                <w:rFonts w:hint="eastAsia" w:ascii="宋体"/>
                <w:color w:val="auto"/>
                <w:kern w:val="0"/>
                <w:szCs w:val="21"/>
                <w:highlight w:val="none"/>
                <w:lang w:val="en-US" w:eastAsia="zh-CN"/>
              </w:rPr>
              <w:t>数据收集与分析</w:t>
            </w:r>
            <w:r>
              <w:rPr>
                <w:rFonts w:hint="eastAsia"/>
                <w:color w:val="auto"/>
                <w:highlight w:val="none"/>
                <w:lang w:val="en-US" w:eastAsia="zh-CN"/>
              </w:rPr>
              <w:t>进行打分，包括数据收集与分析理解，方法合理阐述等方面。</w:t>
            </w:r>
          </w:p>
          <w:p w14:paraId="13E5F87A">
            <w:pPr>
              <w:spacing w:line="400" w:lineRule="exact"/>
              <w:jc w:val="left"/>
              <w:rPr>
                <w:rFonts w:hint="eastAsia"/>
                <w:color w:val="auto"/>
                <w:highlight w:val="none"/>
                <w:lang w:val="en-US" w:eastAsia="zh-CN"/>
              </w:rPr>
            </w:pPr>
            <w:r>
              <w:rPr>
                <w:rFonts w:hint="eastAsia"/>
                <w:color w:val="auto"/>
                <w:highlight w:val="none"/>
                <w:lang w:val="en-US" w:eastAsia="zh-CN"/>
              </w:rPr>
              <w:t>1. 对本项目数据收集与分析理解准确，数据资料收集分析完整，方法合理且切合项目需求，优于本项目采购相关要求，完整详细，可行性、实用性、针对性强，得5分；</w:t>
            </w:r>
          </w:p>
          <w:p w14:paraId="124B4D68">
            <w:pPr>
              <w:spacing w:line="400" w:lineRule="exact"/>
              <w:jc w:val="left"/>
              <w:rPr>
                <w:rFonts w:hint="eastAsia"/>
                <w:color w:val="auto"/>
                <w:highlight w:val="none"/>
                <w:lang w:val="en-US" w:eastAsia="zh-CN"/>
              </w:rPr>
            </w:pPr>
            <w:r>
              <w:rPr>
                <w:rFonts w:hint="eastAsia"/>
                <w:color w:val="auto"/>
                <w:highlight w:val="none"/>
                <w:lang w:val="en-US" w:eastAsia="zh-CN"/>
              </w:rPr>
              <w:t>2. 对本项目数据收集与分析理解基本准确，数据资料收集分析基本完整、方法基本合理且适合本项目采购相关要求，完整详细，具有可行性、实用性、针对性，得3分；</w:t>
            </w:r>
          </w:p>
          <w:p w14:paraId="6A1A9257">
            <w:pPr>
              <w:spacing w:line="400" w:lineRule="exact"/>
              <w:jc w:val="left"/>
              <w:rPr>
                <w:rFonts w:hint="eastAsia"/>
                <w:color w:val="auto"/>
                <w:highlight w:val="none"/>
                <w:lang w:val="en-US" w:eastAsia="zh-CN"/>
              </w:rPr>
            </w:pPr>
            <w:r>
              <w:rPr>
                <w:rFonts w:hint="eastAsia"/>
                <w:color w:val="auto"/>
                <w:highlight w:val="none"/>
                <w:lang w:val="en-US" w:eastAsia="zh-CN"/>
              </w:rPr>
              <w:t>3. 对本项目数据收集与分析理解有待提升，数据资料收集分析不完整、方法不太合理，分析方案基本适合本项目采购相关要求，可行性、实用性、针对性有待改善，得1分；</w:t>
            </w:r>
          </w:p>
          <w:p w14:paraId="2C257626">
            <w:pPr>
              <w:spacing w:line="400" w:lineRule="exact"/>
              <w:jc w:val="left"/>
              <w:rPr>
                <w:rFonts w:hint="eastAsia"/>
                <w:color w:val="auto"/>
                <w:highlight w:val="none"/>
                <w:lang w:val="en-US" w:eastAsia="zh-CN"/>
              </w:rPr>
            </w:pPr>
            <w:r>
              <w:rPr>
                <w:rFonts w:hint="eastAsia"/>
                <w:color w:val="auto"/>
                <w:highlight w:val="none"/>
                <w:lang w:val="en-US" w:eastAsia="zh-CN"/>
              </w:rPr>
              <w:t>4. 未提供本项目数据收集与分析相关内容的不得分。</w:t>
            </w:r>
          </w:p>
        </w:tc>
        <w:tc>
          <w:tcPr>
            <w:tcW w:w="833" w:type="dxa"/>
            <w:tcBorders>
              <w:top w:val="single" w:color="000000" w:sz="4" w:space="0"/>
              <w:left w:val="single" w:color="000000" w:sz="4" w:space="0"/>
              <w:bottom w:val="single" w:color="000000" w:sz="4" w:space="0"/>
              <w:right w:val="single" w:color="000000" w:sz="4" w:space="0"/>
            </w:tcBorders>
            <w:vAlign w:val="center"/>
          </w:tcPr>
          <w:p w14:paraId="2F21C6CA">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eastAsia" w:ascii="宋体" w:hAnsi="宋体"/>
                <w:color w:val="auto"/>
                <w:sz w:val="24"/>
                <w:highlight w:val="none"/>
              </w:rPr>
            </w:pPr>
            <w:r>
              <w:rPr>
                <w:rFonts w:ascii="宋体" w:hAnsi="宋体" w:eastAsia="宋体" w:cs="宋体"/>
                <w:kern w:val="0"/>
                <w:sz w:val="20"/>
                <w:szCs w:val="20"/>
                <w:lang w:val="en-US" w:eastAsia="zh-CN" w:bidi="ar"/>
              </w:rPr>
              <w:t>0-5分</w:t>
            </w:r>
          </w:p>
        </w:tc>
      </w:tr>
      <w:tr w14:paraId="5C93A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430" w:type="dxa"/>
            <w:vMerge w:val="continue"/>
            <w:vAlign w:val="center"/>
          </w:tcPr>
          <w:p w14:paraId="0BCC23CF">
            <w:pPr>
              <w:widowControl/>
              <w:spacing w:line="360" w:lineRule="auto"/>
              <w:jc w:val="center"/>
              <w:rPr>
                <w:rFonts w:hint="eastAsia" w:ascii="宋体" w:hAnsi="宋体" w:cs="宋体"/>
                <w:b/>
                <w:color w:val="auto"/>
                <w:kern w:val="0"/>
                <w:szCs w:val="21"/>
                <w:highlight w:val="none"/>
              </w:rPr>
            </w:pPr>
          </w:p>
        </w:tc>
        <w:tc>
          <w:tcPr>
            <w:tcW w:w="1584" w:type="dxa"/>
            <w:tcBorders>
              <w:top w:val="single" w:color="000000" w:sz="4" w:space="0"/>
              <w:left w:val="single" w:color="000000" w:sz="4" w:space="0"/>
              <w:bottom w:val="single" w:color="000000" w:sz="4" w:space="0"/>
              <w:right w:val="single" w:color="000000" w:sz="4" w:space="0"/>
            </w:tcBorders>
            <w:vAlign w:val="center"/>
          </w:tcPr>
          <w:p w14:paraId="7EA3FCA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olor w:val="auto"/>
                <w:kern w:val="0"/>
                <w:szCs w:val="21"/>
                <w:highlight w:val="none"/>
              </w:rPr>
            </w:pPr>
            <w:r>
              <w:rPr>
                <w:rFonts w:hint="eastAsia" w:ascii="宋体"/>
                <w:color w:val="auto"/>
                <w:kern w:val="0"/>
                <w:szCs w:val="21"/>
                <w:highlight w:val="none"/>
                <w:lang w:val="en-US" w:eastAsia="zh-CN"/>
              </w:rPr>
              <w:t>实施方案</w:t>
            </w:r>
          </w:p>
        </w:tc>
        <w:tc>
          <w:tcPr>
            <w:tcW w:w="5602" w:type="dxa"/>
            <w:tcBorders>
              <w:top w:val="single" w:color="000000" w:sz="4" w:space="0"/>
              <w:left w:val="single" w:color="000000" w:sz="4" w:space="0"/>
              <w:bottom w:val="single" w:color="000000" w:sz="4" w:space="0"/>
              <w:right w:val="single" w:color="000000" w:sz="4" w:space="0"/>
            </w:tcBorders>
            <w:vAlign w:val="top"/>
          </w:tcPr>
          <w:p w14:paraId="68A7D0F6">
            <w:pPr>
              <w:spacing w:line="400" w:lineRule="exact"/>
              <w:jc w:val="left"/>
              <w:rPr>
                <w:rFonts w:hint="eastAsia"/>
                <w:color w:val="auto"/>
                <w:highlight w:val="none"/>
                <w:lang w:val="en-US" w:eastAsia="zh-CN"/>
              </w:rPr>
            </w:pPr>
            <w:r>
              <w:rPr>
                <w:rFonts w:hint="eastAsia"/>
                <w:color w:val="auto"/>
                <w:highlight w:val="none"/>
                <w:lang w:val="en-US" w:eastAsia="zh-CN"/>
              </w:rPr>
              <w:t>磋商小组根据供应商对</w:t>
            </w:r>
            <w:r>
              <w:rPr>
                <w:rFonts w:hint="eastAsia" w:ascii="宋体"/>
                <w:color w:val="auto"/>
                <w:kern w:val="0"/>
                <w:szCs w:val="21"/>
                <w:highlight w:val="none"/>
                <w:lang w:val="en-US" w:eastAsia="zh-CN"/>
              </w:rPr>
              <w:t>实施方案</w:t>
            </w:r>
            <w:r>
              <w:rPr>
                <w:rFonts w:hint="eastAsia"/>
                <w:color w:val="auto"/>
                <w:highlight w:val="none"/>
                <w:lang w:val="en-US" w:eastAsia="zh-CN"/>
              </w:rPr>
              <w:t>进行打分，包括总体实施目标、需求和工作任务阐述等方面。</w:t>
            </w:r>
          </w:p>
          <w:p w14:paraId="14CCE59A">
            <w:pPr>
              <w:spacing w:line="400" w:lineRule="exact"/>
              <w:jc w:val="left"/>
              <w:rPr>
                <w:rFonts w:hint="eastAsia"/>
                <w:color w:val="auto"/>
                <w:highlight w:val="none"/>
                <w:lang w:val="en-US" w:eastAsia="zh-CN"/>
              </w:rPr>
            </w:pPr>
            <w:r>
              <w:rPr>
                <w:rFonts w:hint="eastAsia"/>
                <w:color w:val="auto"/>
                <w:highlight w:val="none"/>
                <w:lang w:val="en-US" w:eastAsia="zh-CN"/>
              </w:rPr>
              <w:t>1. 对本项目总体实施目标、需求和工作任务分析理解准确，总体实施目标、需求和工作任务分析方案详细、合理且切合项目需求，优于本项目采购需求，完整详细，可行性、实用性、针对性强，得5分；</w:t>
            </w:r>
          </w:p>
          <w:p w14:paraId="353600DB">
            <w:pPr>
              <w:spacing w:line="400" w:lineRule="exact"/>
              <w:jc w:val="left"/>
              <w:rPr>
                <w:rFonts w:hint="eastAsia"/>
                <w:color w:val="auto"/>
                <w:highlight w:val="none"/>
                <w:lang w:val="en-US" w:eastAsia="zh-CN"/>
              </w:rPr>
            </w:pPr>
            <w:r>
              <w:rPr>
                <w:rFonts w:hint="eastAsia"/>
                <w:color w:val="auto"/>
                <w:highlight w:val="none"/>
                <w:lang w:val="en-US" w:eastAsia="zh-CN"/>
              </w:rPr>
              <w:t>2. 对本项目总体实施目标、需求和工作任务分析理解基本准确，总体实施目标、需求和工作任务分析方案详细、合理且适合本项目采购需求，完整详细，具有可行性、实用性、针对性，得3分；</w:t>
            </w:r>
          </w:p>
          <w:p w14:paraId="514A63E9">
            <w:pPr>
              <w:spacing w:line="400" w:lineRule="exact"/>
              <w:jc w:val="left"/>
              <w:rPr>
                <w:rFonts w:hint="eastAsia"/>
                <w:color w:val="auto"/>
                <w:highlight w:val="none"/>
                <w:lang w:val="en-US" w:eastAsia="zh-CN"/>
              </w:rPr>
            </w:pPr>
            <w:r>
              <w:rPr>
                <w:rFonts w:hint="eastAsia"/>
                <w:color w:val="auto"/>
                <w:highlight w:val="none"/>
                <w:lang w:val="en-US" w:eastAsia="zh-CN"/>
              </w:rPr>
              <w:t>3. 对本项目总体实施目标、需求和工作任务分析理解有待提升，总体实施目标、需求和工作任务分析方案基本适合本项目采购需求，可行性、实用性、针对性有待改善，得1分；</w:t>
            </w:r>
          </w:p>
          <w:p w14:paraId="6425E8FD">
            <w:pPr>
              <w:spacing w:line="400" w:lineRule="exact"/>
              <w:jc w:val="left"/>
              <w:rPr>
                <w:rFonts w:hint="eastAsia"/>
                <w:color w:val="auto"/>
                <w:highlight w:val="none"/>
                <w:lang w:val="en-US" w:eastAsia="zh-CN"/>
              </w:rPr>
            </w:pPr>
            <w:r>
              <w:rPr>
                <w:rFonts w:hint="eastAsia"/>
                <w:color w:val="auto"/>
                <w:highlight w:val="none"/>
                <w:lang w:val="en-US" w:eastAsia="zh-CN"/>
              </w:rPr>
              <w:t>4. 未提供相应内容的不得分。</w:t>
            </w:r>
          </w:p>
        </w:tc>
        <w:tc>
          <w:tcPr>
            <w:tcW w:w="833" w:type="dxa"/>
            <w:tcBorders>
              <w:top w:val="single" w:color="000000" w:sz="4" w:space="0"/>
              <w:left w:val="single" w:color="000000" w:sz="4" w:space="0"/>
              <w:bottom w:val="single" w:color="000000" w:sz="4" w:space="0"/>
              <w:right w:val="single" w:color="000000" w:sz="4" w:space="0"/>
            </w:tcBorders>
            <w:vAlign w:val="center"/>
          </w:tcPr>
          <w:p w14:paraId="773961E0">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eastAsia" w:ascii="宋体" w:hAnsi="宋体"/>
                <w:color w:val="auto"/>
                <w:sz w:val="24"/>
                <w:highlight w:val="none"/>
              </w:rPr>
            </w:pPr>
            <w:r>
              <w:rPr>
                <w:rFonts w:ascii="宋体" w:hAnsi="宋体" w:eastAsia="宋体" w:cs="宋体"/>
                <w:kern w:val="0"/>
                <w:sz w:val="20"/>
                <w:szCs w:val="20"/>
                <w:lang w:val="en-US" w:eastAsia="zh-CN" w:bidi="ar"/>
              </w:rPr>
              <w:t>0-5分</w:t>
            </w:r>
          </w:p>
        </w:tc>
      </w:tr>
      <w:tr w14:paraId="3377E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0" w:hRule="atLeast"/>
        </w:trPr>
        <w:tc>
          <w:tcPr>
            <w:tcW w:w="1430" w:type="dxa"/>
            <w:vMerge w:val="continue"/>
            <w:vAlign w:val="center"/>
          </w:tcPr>
          <w:p w14:paraId="3522A4ED">
            <w:pPr>
              <w:widowControl/>
              <w:spacing w:line="360" w:lineRule="auto"/>
              <w:jc w:val="center"/>
              <w:rPr>
                <w:rFonts w:hint="eastAsia" w:ascii="宋体" w:hAnsi="宋体" w:cs="宋体"/>
                <w:b/>
                <w:color w:val="auto"/>
                <w:kern w:val="0"/>
                <w:szCs w:val="21"/>
                <w:highlight w:val="none"/>
              </w:rPr>
            </w:pPr>
          </w:p>
        </w:tc>
        <w:tc>
          <w:tcPr>
            <w:tcW w:w="1584" w:type="dxa"/>
            <w:tcBorders>
              <w:top w:val="single" w:color="000000" w:sz="4" w:space="0"/>
              <w:left w:val="single" w:color="000000" w:sz="4" w:space="0"/>
              <w:bottom w:val="single" w:color="000000" w:sz="4" w:space="0"/>
              <w:right w:val="single" w:color="000000" w:sz="4" w:space="0"/>
            </w:tcBorders>
            <w:vAlign w:val="center"/>
          </w:tcPr>
          <w:p w14:paraId="239F455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olor w:val="auto"/>
                <w:kern w:val="0"/>
                <w:szCs w:val="21"/>
                <w:highlight w:val="none"/>
              </w:rPr>
            </w:pPr>
            <w:r>
              <w:rPr>
                <w:rFonts w:hint="eastAsia" w:ascii="宋体"/>
                <w:color w:val="auto"/>
                <w:kern w:val="0"/>
                <w:szCs w:val="21"/>
                <w:highlight w:val="none"/>
                <w:lang w:val="en-US" w:eastAsia="zh-CN"/>
              </w:rPr>
              <w:t>整体思路</w:t>
            </w:r>
          </w:p>
        </w:tc>
        <w:tc>
          <w:tcPr>
            <w:tcW w:w="5602" w:type="dxa"/>
            <w:tcBorders>
              <w:top w:val="single" w:color="000000" w:sz="4" w:space="0"/>
              <w:left w:val="single" w:color="000000" w:sz="4" w:space="0"/>
              <w:bottom w:val="single" w:color="000000" w:sz="4" w:space="0"/>
              <w:right w:val="single" w:color="000000" w:sz="4" w:space="0"/>
            </w:tcBorders>
            <w:vAlign w:val="top"/>
          </w:tcPr>
          <w:p w14:paraId="14C2D1BC">
            <w:pPr>
              <w:spacing w:line="400" w:lineRule="exact"/>
              <w:jc w:val="left"/>
              <w:rPr>
                <w:rFonts w:hint="eastAsia"/>
                <w:color w:val="auto"/>
                <w:highlight w:val="none"/>
                <w:lang w:val="en-US" w:eastAsia="zh-CN"/>
              </w:rPr>
            </w:pPr>
            <w:r>
              <w:rPr>
                <w:rFonts w:hint="eastAsia"/>
                <w:color w:val="auto"/>
                <w:highlight w:val="none"/>
                <w:lang w:val="en-US" w:eastAsia="zh-CN"/>
              </w:rPr>
              <w:t>磋商小组根据供应商对</w:t>
            </w:r>
            <w:r>
              <w:rPr>
                <w:rFonts w:hint="eastAsia" w:ascii="宋体"/>
                <w:color w:val="auto"/>
                <w:kern w:val="0"/>
                <w:szCs w:val="21"/>
                <w:highlight w:val="none"/>
                <w:lang w:val="en-US" w:eastAsia="zh-CN"/>
              </w:rPr>
              <w:t>整体思路</w:t>
            </w:r>
            <w:r>
              <w:rPr>
                <w:rFonts w:hint="eastAsia"/>
                <w:color w:val="auto"/>
                <w:highlight w:val="none"/>
                <w:lang w:val="en-US" w:eastAsia="zh-CN"/>
              </w:rPr>
              <w:t>进行打分，包括整体思路理解、内容完整性阐述等方面。</w:t>
            </w:r>
          </w:p>
          <w:p w14:paraId="45D5936B">
            <w:pPr>
              <w:spacing w:line="400" w:lineRule="exact"/>
              <w:jc w:val="left"/>
              <w:rPr>
                <w:rFonts w:hint="eastAsia"/>
                <w:color w:val="auto"/>
                <w:highlight w:val="none"/>
                <w:lang w:val="en-US" w:eastAsia="zh-CN"/>
              </w:rPr>
            </w:pPr>
            <w:r>
              <w:rPr>
                <w:rFonts w:hint="eastAsia"/>
                <w:color w:val="auto"/>
                <w:highlight w:val="none"/>
                <w:lang w:val="en-US" w:eastAsia="zh-CN"/>
              </w:rPr>
              <w:t>1. 对本项目整体思路理解准确，思路清晰、内容完整且切合项目需求，优于本项目采购相关要求，完整详细，可行性、实用性、针对性强，得5分；</w:t>
            </w:r>
          </w:p>
          <w:p w14:paraId="058186A7">
            <w:pPr>
              <w:spacing w:line="400" w:lineRule="exact"/>
              <w:jc w:val="left"/>
              <w:rPr>
                <w:rFonts w:hint="eastAsia"/>
                <w:color w:val="auto"/>
                <w:highlight w:val="none"/>
                <w:lang w:val="en-US" w:eastAsia="zh-CN"/>
              </w:rPr>
            </w:pPr>
            <w:r>
              <w:rPr>
                <w:rFonts w:hint="eastAsia"/>
                <w:color w:val="auto"/>
                <w:highlight w:val="none"/>
                <w:lang w:val="en-US" w:eastAsia="zh-CN"/>
              </w:rPr>
              <w:t>2. 对本项目整体思路理解基本准确，思路清晰、内容基本完整且适合本项目采购相关要求，完整详细，具有可行性、实用性、针对性，得3分；</w:t>
            </w:r>
          </w:p>
          <w:p w14:paraId="48BA7086">
            <w:pPr>
              <w:spacing w:line="400" w:lineRule="exact"/>
              <w:jc w:val="left"/>
              <w:rPr>
                <w:rFonts w:hint="eastAsia"/>
                <w:color w:val="auto"/>
                <w:highlight w:val="none"/>
                <w:lang w:val="en-US" w:eastAsia="zh-CN"/>
              </w:rPr>
            </w:pPr>
            <w:r>
              <w:rPr>
                <w:rFonts w:hint="eastAsia"/>
                <w:color w:val="auto"/>
                <w:highlight w:val="none"/>
                <w:lang w:val="en-US" w:eastAsia="zh-CN"/>
              </w:rPr>
              <w:t>3. 对本项目整体思路理解有待提升，思路基本清晰、可行性一般，思路方案基本适合本项目采购相关要求，可行性、实用性、针对性有待改善，得1分；</w:t>
            </w:r>
          </w:p>
          <w:p w14:paraId="7985AFFB">
            <w:pPr>
              <w:spacing w:line="400" w:lineRule="exact"/>
              <w:jc w:val="left"/>
              <w:rPr>
                <w:rFonts w:hint="eastAsia"/>
                <w:color w:val="auto"/>
                <w:highlight w:val="none"/>
                <w:lang w:val="en-US" w:eastAsia="zh-CN"/>
              </w:rPr>
            </w:pPr>
            <w:r>
              <w:rPr>
                <w:rFonts w:hint="eastAsia"/>
                <w:color w:val="auto"/>
                <w:highlight w:val="none"/>
                <w:lang w:val="en-US" w:eastAsia="zh-CN"/>
              </w:rPr>
              <w:t>4. 未提供本项目整体思路相关内容的不得分。</w:t>
            </w:r>
          </w:p>
        </w:tc>
        <w:tc>
          <w:tcPr>
            <w:tcW w:w="833" w:type="dxa"/>
            <w:tcBorders>
              <w:top w:val="single" w:color="000000" w:sz="4" w:space="0"/>
              <w:left w:val="single" w:color="000000" w:sz="4" w:space="0"/>
              <w:bottom w:val="single" w:color="000000" w:sz="4" w:space="0"/>
              <w:right w:val="single" w:color="000000" w:sz="4" w:space="0"/>
            </w:tcBorders>
            <w:vAlign w:val="center"/>
          </w:tcPr>
          <w:p w14:paraId="7B683E32">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eastAsia" w:ascii="宋体" w:hAnsi="宋体"/>
                <w:color w:val="auto"/>
                <w:sz w:val="24"/>
                <w:highlight w:val="none"/>
              </w:rPr>
            </w:pPr>
            <w:r>
              <w:rPr>
                <w:rFonts w:ascii="宋体" w:hAnsi="宋体" w:eastAsia="宋体" w:cs="宋体"/>
                <w:kern w:val="0"/>
                <w:sz w:val="20"/>
                <w:szCs w:val="20"/>
                <w:lang w:val="en-US" w:eastAsia="zh-CN" w:bidi="ar"/>
              </w:rPr>
              <w:t>0-5分</w:t>
            </w:r>
          </w:p>
        </w:tc>
      </w:tr>
      <w:tr w14:paraId="4F2C2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1430" w:type="dxa"/>
            <w:vMerge w:val="continue"/>
            <w:vAlign w:val="center"/>
          </w:tcPr>
          <w:p w14:paraId="215E577B">
            <w:pPr>
              <w:widowControl/>
              <w:spacing w:line="360" w:lineRule="auto"/>
              <w:jc w:val="center"/>
              <w:rPr>
                <w:rFonts w:hint="eastAsia" w:ascii="宋体" w:hAnsi="宋体" w:cs="宋体"/>
                <w:b/>
                <w:color w:val="auto"/>
                <w:kern w:val="0"/>
                <w:szCs w:val="21"/>
                <w:highlight w:val="none"/>
              </w:rPr>
            </w:pPr>
          </w:p>
        </w:tc>
        <w:tc>
          <w:tcPr>
            <w:tcW w:w="1584" w:type="dxa"/>
            <w:tcBorders>
              <w:top w:val="single" w:color="000000" w:sz="4" w:space="0"/>
              <w:left w:val="single" w:color="000000" w:sz="4" w:space="0"/>
              <w:bottom w:val="single" w:color="000000" w:sz="4" w:space="0"/>
              <w:right w:val="single" w:color="000000" w:sz="4" w:space="0"/>
            </w:tcBorders>
            <w:vAlign w:val="center"/>
          </w:tcPr>
          <w:p w14:paraId="6E533FE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color w:val="auto"/>
                <w:kern w:val="0"/>
                <w:szCs w:val="21"/>
                <w:highlight w:val="none"/>
                <w:lang w:val="en-US" w:eastAsia="zh-CN"/>
              </w:rPr>
            </w:pPr>
            <w:r>
              <w:rPr>
                <w:rFonts w:hint="eastAsia" w:ascii="宋体"/>
                <w:color w:val="auto"/>
                <w:kern w:val="0"/>
                <w:szCs w:val="21"/>
                <w:highlight w:val="none"/>
                <w:lang w:val="en-US" w:eastAsia="zh-CN"/>
              </w:rPr>
              <w:t>产业链图谱绘制方案</w:t>
            </w:r>
          </w:p>
        </w:tc>
        <w:tc>
          <w:tcPr>
            <w:tcW w:w="5602" w:type="dxa"/>
            <w:tcBorders>
              <w:top w:val="single" w:color="000000" w:sz="4" w:space="0"/>
              <w:left w:val="single" w:color="000000" w:sz="4" w:space="0"/>
              <w:bottom w:val="single" w:color="000000" w:sz="4" w:space="0"/>
              <w:right w:val="single" w:color="000000" w:sz="4" w:space="0"/>
            </w:tcBorders>
            <w:vAlign w:val="top"/>
          </w:tcPr>
          <w:p w14:paraId="15C12AE9">
            <w:pPr>
              <w:spacing w:line="400" w:lineRule="exact"/>
              <w:jc w:val="left"/>
              <w:rPr>
                <w:rFonts w:hint="eastAsia"/>
                <w:color w:val="auto"/>
                <w:highlight w:val="none"/>
                <w:lang w:val="en-US" w:eastAsia="zh-CN"/>
              </w:rPr>
            </w:pPr>
            <w:r>
              <w:rPr>
                <w:rFonts w:hint="eastAsia"/>
                <w:color w:val="auto"/>
                <w:highlight w:val="none"/>
                <w:lang w:val="en-US" w:eastAsia="zh-CN"/>
              </w:rPr>
              <w:t>磋商小组根据供应商对</w:t>
            </w:r>
            <w:r>
              <w:rPr>
                <w:rFonts w:hint="eastAsia" w:ascii="宋体"/>
                <w:color w:val="auto"/>
                <w:kern w:val="0"/>
                <w:szCs w:val="21"/>
                <w:highlight w:val="none"/>
                <w:lang w:val="en-US" w:eastAsia="zh-CN"/>
              </w:rPr>
              <w:t>产业链图谱绘制方案</w:t>
            </w:r>
            <w:r>
              <w:rPr>
                <w:rFonts w:hint="eastAsia"/>
                <w:color w:val="auto"/>
                <w:highlight w:val="none"/>
                <w:lang w:val="en-US" w:eastAsia="zh-CN"/>
              </w:rPr>
              <w:t>进行打分，包括</w:t>
            </w:r>
            <w:r>
              <w:rPr>
                <w:rFonts w:hint="eastAsia" w:ascii="宋体"/>
                <w:color w:val="auto"/>
                <w:kern w:val="0"/>
                <w:szCs w:val="21"/>
                <w:highlight w:val="none"/>
                <w:lang w:val="en-US" w:eastAsia="zh-CN"/>
              </w:rPr>
              <w:t>产业链图谱绘制方案</w:t>
            </w:r>
            <w:r>
              <w:rPr>
                <w:rFonts w:hint="eastAsia"/>
                <w:color w:val="auto"/>
                <w:highlight w:val="none"/>
                <w:lang w:val="en-US" w:eastAsia="zh-CN"/>
              </w:rPr>
              <w:t>阐述等方面。</w:t>
            </w:r>
          </w:p>
          <w:p w14:paraId="7F36FA62">
            <w:pPr>
              <w:spacing w:line="400" w:lineRule="exact"/>
              <w:jc w:val="left"/>
              <w:rPr>
                <w:rFonts w:hint="eastAsia"/>
                <w:color w:val="auto"/>
                <w:highlight w:val="none"/>
                <w:lang w:val="en-US" w:eastAsia="zh-CN"/>
              </w:rPr>
            </w:pPr>
            <w:r>
              <w:rPr>
                <w:rFonts w:hint="eastAsia"/>
                <w:color w:val="auto"/>
                <w:highlight w:val="none"/>
                <w:lang w:val="en-US" w:eastAsia="zh-CN"/>
              </w:rPr>
              <w:t>1. 对本项目产业链图谱绘制方案理解准确，方案合理、思路清晰且切合项目需求，优于本项目采购相关要求，完整详细，可行性、实用性、针对性强，得5分；</w:t>
            </w:r>
          </w:p>
          <w:p w14:paraId="47F42374">
            <w:pPr>
              <w:spacing w:line="400" w:lineRule="exact"/>
              <w:jc w:val="left"/>
              <w:rPr>
                <w:rFonts w:hint="eastAsia"/>
                <w:color w:val="auto"/>
                <w:highlight w:val="none"/>
                <w:lang w:val="en-US" w:eastAsia="zh-CN"/>
              </w:rPr>
            </w:pPr>
            <w:r>
              <w:rPr>
                <w:rFonts w:hint="eastAsia"/>
                <w:color w:val="auto"/>
                <w:highlight w:val="none"/>
                <w:lang w:val="en-US" w:eastAsia="zh-CN"/>
              </w:rPr>
              <w:t>2. 对本项目产业链图谱绘制方案理解基本准确，方案较合理且适合本项目采购相关要求，完整详细，具有可行性、实用性、针对性，得3分；</w:t>
            </w:r>
          </w:p>
          <w:p w14:paraId="707B79C8">
            <w:pPr>
              <w:spacing w:line="400" w:lineRule="exact"/>
              <w:jc w:val="left"/>
              <w:rPr>
                <w:rFonts w:hint="eastAsia"/>
                <w:color w:val="auto"/>
                <w:highlight w:val="none"/>
                <w:lang w:val="en-US" w:eastAsia="zh-CN"/>
              </w:rPr>
            </w:pPr>
            <w:r>
              <w:rPr>
                <w:rFonts w:hint="eastAsia"/>
                <w:color w:val="auto"/>
                <w:highlight w:val="none"/>
                <w:lang w:val="en-US" w:eastAsia="zh-CN"/>
              </w:rPr>
              <w:t>3. 对本项目产业链图谱绘制方案理解有待提升，方案内容不全、基本合理，方案基本适合本项目采购相关要求，可行性、实用性、针对性有待改善，得1分；</w:t>
            </w:r>
          </w:p>
          <w:p w14:paraId="32BAC546">
            <w:pPr>
              <w:spacing w:line="400" w:lineRule="exact"/>
              <w:jc w:val="left"/>
              <w:rPr>
                <w:rFonts w:hint="eastAsia"/>
                <w:color w:val="auto"/>
                <w:highlight w:val="none"/>
                <w:lang w:val="en-US" w:eastAsia="zh-CN"/>
              </w:rPr>
            </w:pPr>
            <w:r>
              <w:rPr>
                <w:rFonts w:hint="eastAsia"/>
                <w:color w:val="auto"/>
                <w:highlight w:val="none"/>
                <w:lang w:val="en-US" w:eastAsia="zh-CN"/>
              </w:rPr>
              <w:t>4. 未提供本项目产业链图谱绘制方案相关内容的不得分。</w:t>
            </w:r>
          </w:p>
        </w:tc>
        <w:tc>
          <w:tcPr>
            <w:tcW w:w="833" w:type="dxa"/>
            <w:tcBorders>
              <w:top w:val="single" w:color="000000" w:sz="4" w:space="0"/>
              <w:left w:val="single" w:color="000000" w:sz="4" w:space="0"/>
              <w:bottom w:val="single" w:color="000000" w:sz="4" w:space="0"/>
              <w:right w:val="single" w:color="000000" w:sz="4" w:space="0"/>
            </w:tcBorders>
            <w:vAlign w:val="center"/>
          </w:tcPr>
          <w:p w14:paraId="0637A923">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eastAsia" w:ascii="宋体" w:hAnsi="宋体"/>
                <w:color w:val="auto"/>
                <w:sz w:val="24"/>
                <w:highlight w:val="none"/>
              </w:rPr>
            </w:pPr>
            <w:r>
              <w:rPr>
                <w:rFonts w:ascii="宋体" w:hAnsi="宋体" w:eastAsia="宋体" w:cs="宋体"/>
                <w:kern w:val="0"/>
                <w:sz w:val="20"/>
                <w:szCs w:val="20"/>
                <w:lang w:val="en-US" w:eastAsia="zh-CN" w:bidi="ar"/>
              </w:rPr>
              <w:t>0-5分</w:t>
            </w:r>
          </w:p>
        </w:tc>
      </w:tr>
      <w:tr w14:paraId="15F93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3" w:hRule="atLeast"/>
        </w:trPr>
        <w:tc>
          <w:tcPr>
            <w:tcW w:w="1430" w:type="dxa"/>
            <w:vMerge w:val="continue"/>
            <w:vAlign w:val="center"/>
          </w:tcPr>
          <w:p w14:paraId="26B21C03">
            <w:pPr>
              <w:widowControl/>
              <w:spacing w:line="360" w:lineRule="auto"/>
              <w:jc w:val="center"/>
              <w:rPr>
                <w:rFonts w:hint="eastAsia" w:ascii="宋体" w:hAnsi="宋体" w:cs="宋体"/>
                <w:b/>
                <w:color w:val="auto"/>
                <w:kern w:val="0"/>
                <w:szCs w:val="21"/>
                <w:highlight w:val="none"/>
              </w:rPr>
            </w:pPr>
          </w:p>
        </w:tc>
        <w:tc>
          <w:tcPr>
            <w:tcW w:w="1584" w:type="dxa"/>
            <w:tcBorders>
              <w:top w:val="single" w:color="000000" w:sz="4" w:space="0"/>
              <w:left w:val="single" w:color="000000" w:sz="4" w:space="0"/>
              <w:bottom w:val="single" w:color="000000" w:sz="4" w:space="0"/>
              <w:right w:val="single" w:color="000000" w:sz="4" w:space="0"/>
            </w:tcBorders>
            <w:vAlign w:val="center"/>
          </w:tcPr>
          <w:p w14:paraId="4D5C6CB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color w:val="auto"/>
                <w:kern w:val="0"/>
                <w:szCs w:val="21"/>
                <w:highlight w:val="none"/>
                <w:lang w:val="en-US" w:eastAsia="zh-CN"/>
              </w:rPr>
            </w:pPr>
            <w:r>
              <w:rPr>
                <w:rFonts w:hint="eastAsia" w:ascii="宋体"/>
                <w:color w:val="auto"/>
                <w:kern w:val="0"/>
                <w:szCs w:val="21"/>
                <w:highlight w:val="none"/>
                <w:lang w:val="en-US" w:eastAsia="zh-CN"/>
              </w:rPr>
              <w:t>进度计划及控制</w:t>
            </w:r>
          </w:p>
        </w:tc>
        <w:tc>
          <w:tcPr>
            <w:tcW w:w="5602" w:type="dxa"/>
            <w:tcBorders>
              <w:top w:val="single" w:color="000000" w:sz="4" w:space="0"/>
              <w:left w:val="single" w:color="000000" w:sz="4" w:space="0"/>
              <w:bottom w:val="single" w:color="000000" w:sz="4" w:space="0"/>
              <w:right w:val="single" w:color="000000" w:sz="4" w:space="0"/>
            </w:tcBorders>
            <w:vAlign w:val="top"/>
          </w:tcPr>
          <w:p w14:paraId="7A8D56E2">
            <w:pPr>
              <w:spacing w:line="400" w:lineRule="exact"/>
              <w:jc w:val="left"/>
              <w:rPr>
                <w:rFonts w:hint="eastAsia"/>
                <w:color w:val="auto"/>
                <w:highlight w:val="none"/>
                <w:lang w:val="en-US" w:eastAsia="zh-CN"/>
              </w:rPr>
            </w:pPr>
            <w:r>
              <w:rPr>
                <w:rFonts w:hint="eastAsia"/>
                <w:color w:val="auto"/>
                <w:highlight w:val="none"/>
                <w:lang w:val="en-US" w:eastAsia="zh-CN"/>
              </w:rPr>
              <w:t>磋商小组根据供应商对</w:t>
            </w:r>
            <w:r>
              <w:rPr>
                <w:rFonts w:hint="eastAsia" w:ascii="宋体"/>
                <w:color w:val="auto"/>
                <w:kern w:val="0"/>
                <w:szCs w:val="21"/>
                <w:highlight w:val="none"/>
                <w:lang w:val="en-US" w:eastAsia="zh-CN"/>
              </w:rPr>
              <w:t>进度计划及控制</w:t>
            </w:r>
            <w:r>
              <w:rPr>
                <w:rFonts w:hint="eastAsia"/>
                <w:color w:val="auto"/>
                <w:highlight w:val="none"/>
                <w:lang w:val="en-US" w:eastAsia="zh-CN"/>
              </w:rPr>
              <w:t>进行打分，包括进度计划及控制阐述等方面。</w:t>
            </w:r>
          </w:p>
          <w:p w14:paraId="2293D73E">
            <w:pPr>
              <w:spacing w:line="400" w:lineRule="exact"/>
              <w:jc w:val="left"/>
              <w:rPr>
                <w:rFonts w:hint="eastAsia"/>
                <w:color w:val="auto"/>
                <w:highlight w:val="none"/>
                <w:lang w:val="en-US" w:eastAsia="zh-CN"/>
              </w:rPr>
            </w:pPr>
            <w:r>
              <w:rPr>
                <w:rFonts w:hint="eastAsia"/>
                <w:color w:val="auto"/>
                <w:highlight w:val="none"/>
                <w:lang w:val="en-US" w:eastAsia="zh-CN"/>
              </w:rPr>
              <w:t>1. 对本项目进度计划及控制理解准确，计划完整、科学合理且切合项目需求，优于本项目采购相关要求，完整详细，可行性、实用性、针对性强，得5分；</w:t>
            </w:r>
          </w:p>
          <w:p w14:paraId="783D4603">
            <w:pPr>
              <w:spacing w:line="400" w:lineRule="exact"/>
              <w:jc w:val="left"/>
              <w:rPr>
                <w:rFonts w:hint="eastAsia"/>
                <w:color w:val="auto"/>
                <w:highlight w:val="none"/>
                <w:lang w:val="en-US" w:eastAsia="zh-CN"/>
              </w:rPr>
            </w:pPr>
            <w:r>
              <w:rPr>
                <w:rFonts w:hint="eastAsia"/>
                <w:color w:val="auto"/>
                <w:highlight w:val="none"/>
                <w:lang w:val="en-US" w:eastAsia="zh-CN"/>
              </w:rPr>
              <w:t>2. 对本项目进度计划及控制理解基本准确，计划基本完整可行且适合本项目采购相关要求，完整详细，具有可行性、实用性、针对性，得3分；</w:t>
            </w:r>
          </w:p>
          <w:p w14:paraId="6EF59461">
            <w:pPr>
              <w:spacing w:line="400" w:lineRule="exact"/>
              <w:jc w:val="left"/>
              <w:rPr>
                <w:rFonts w:hint="eastAsia"/>
                <w:color w:val="auto"/>
                <w:highlight w:val="none"/>
                <w:lang w:val="en-US" w:eastAsia="zh-CN"/>
              </w:rPr>
            </w:pPr>
            <w:r>
              <w:rPr>
                <w:rFonts w:hint="eastAsia"/>
                <w:color w:val="auto"/>
                <w:highlight w:val="none"/>
                <w:lang w:val="en-US" w:eastAsia="zh-CN"/>
              </w:rPr>
              <w:t>3. 对本项目进度计划及控制理解有待提升，计划整体较差，方案基本适合本项目采购相关要求，可行性、实用性、针对性有待改善，得1分；</w:t>
            </w:r>
          </w:p>
          <w:p w14:paraId="60280296">
            <w:pPr>
              <w:spacing w:line="400" w:lineRule="exact"/>
              <w:jc w:val="left"/>
              <w:rPr>
                <w:rFonts w:hint="eastAsia"/>
                <w:color w:val="auto"/>
                <w:highlight w:val="none"/>
                <w:lang w:val="en-US" w:eastAsia="zh-CN"/>
              </w:rPr>
            </w:pPr>
            <w:r>
              <w:rPr>
                <w:rFonts w:hint="eastAsia"/>
                <w:color w:val="auto"/>
                <w:highlight w:val="none"/>
                <w:lang w:val="en-US" w:eastAsia="zh-CN"/>
              </w:rPr>
              <w:t>4. 未提供本项目进度计划及控制相关内容的不得分。</w:t>
            </w:r>
          </w:p>
        </w:tc>
        <w:tc>
          <w:tcPr>
            <w:tcW w:w="833" w:type="dxa"/>
            <w:tcBorders>
              <w:top w:val="single" w:color="000000" w:sz="4" w:space="0"/>
              <w:left w:val="single" w:color="000000" w:sz="4" w:space="0"/>
              <w:bottom w:val="single" w:color="000000" w:sz="4" w:space="0"/>
              <w:right w:val="single" w:color="000000" w:sz="4" w:space="0"/>
            </w:tcBorders>
            <w:vAlign w:val="center"/>
          </w:tcPr>
          <w:p w14:paraId="3605FE87">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eastAsia" w:ascii="宋体" w:hAnsi="宋体"/>
                <w:color w:val="auto"/>
                <w:sz w:val="24"/>
                <w:highlight w:val="none"/>
              </w:rPr>
            </w:pPr>
            <w:r>
              <w:rPr>
                <w:rFonts w:ascii="宋体" w:hAnsi="宋体" w:eastAsia="宋体" w:cs="宋体"/>
                <w:kern w:val="0"/>
                <w:sz w:val="20"/>
                <w:szCs w:val="20"/>
                <w:lang w:val="en-US" w:eastAsia="zh-CN" w:bidi="ar"/>
              </w:rPr>
              <w:t>0-5分</w:t>
            </w:r>
          </w:p>
        </w:tc>
      </w:tr>
      <w:tr w14:paraId="60232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430" w:type="dxa"/>
            <w:vMerge w:val="continue"/>
            <w:vAlign w:val="center"/>
          </w:tcPr>
          <w:p w14:paraId="10838AE4">
            <w:pPr>
              <w:widowControl/>
              <w:spacing w:line="360" w:lineRule="auto"/>
              <w:jc w:val="center"/>
              <w:rPr>
                <w:rFonts w:hint="eastAsia" w:ascii="宋体" w:hAnsi="宋体" w:cs="宋体"/>
                <w:b/>
                <w:color w:val="auto"/>
                <w:kern w:val="0"/>
                <w:szCs w:val="21"/>
                <w:highlight w:val="none"/>
              </w:rPr>
            </w:pPr>
          </w:p>
        </w:tc>
        <w:tc>
          <w:tcPr>
            <w:tcW w:w="1584" w:type="dxa"/>
            <w:tcBorders>
              <w:top w:val="single" w:color="000000" w:sz="4" w:space="0"/>
              <w:left w:val="single" w:color="000000" w:sz="4" w:space="0"/>
              <w:bottom w:val="single" w:color="000000" w:sz="4" w:space="0"/>
              <w:right w:val="single" w:color="000000" w:sz="4" w:space="0"/>
            </w:tcBorders>
            <w:vAlign w:val="center"/>
          </w:tcPr>
          <w:p w14:paraId="2099F55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olor w:val="auto"/>
                <w:kern w:val="0"/>
                <w:szCs w:val="21"/>
                <w:highlight w:val="none"/>
                <w:lang w:val="en-US" w:eastAsia="zh-CN"/>
              </w:rPr>
            </w:pPr>
            <w:r>
              <w:rPr>
                <w:rFonts w:hint="eastAsia" w:ascii="宋体"/>
                <w:color w:val="auto"/>
                <w:kern w:val="0"/>
                <w:szCs w:val="21"/>
                <w:highlight w:val="none"/>
                <w:lang w:val="en-US" w:eastAsia="zh-CN"/>
              </w:rPr>
              <w:t>质量保证措施</w:t>
            </w:r>
          </w:p>
        </w:tc>
        <w:tc>
          <w:tcPr>
            <w:tcW w:w="5602" w:type="dxa"/>
            <w:tcBorders>
              <w:top w:val="single" w:color="000000" w:sz="4" w:space="0"/>
              <w:left w:val="single" w:color="000000" w:sz="4" w:space="0"/>
              <w:bottom w:val="single" w:color="000000" w:sz="4" w:space="0"/>
              <w:right w:val="single" w:color="000000" w:sz="4" w:space="0"/>
            </w:tcBorders>
            <w:vAlign w:val="top"/>
          </w:tcPr>
          <w:p w14:paraId="39FDC382">
            <w:pPr>
              <w:spacing w:line="400" w:lineRule="exact"/>
              <w:jc w:val="left"/>
              <w:rPr>
                <w:rFonts w:hint="eastAsia"/>
                <w:color w:val="auto"/>
                <w:highlight w:val="none"/>
                <w:lang w:val="en-US" w:eastAsia="zh-CN"/>
              </w:rPr>
            </w:pPr>
            <w:r>
              <w:rPr>
                <w:rFonts w:hint="eastAsia"/>
                <w:color w:val="auto"/>
                <w:highlight w:val="none"/>
                <w:lang w:val="en-US" w:eastAsia="zh-CN"/>
              </w:rPr>
              <w:t>磋商小组根据供应商对</w:t>
            </w:r>
            <w:r>
              <w:rPr>
                <w:rFonts w:hint="eastAsia" w:ascii="宋体"/>
                <w:color w:val="auto"/>
                <w:kern w:val="0"/>
                <w:szCs w:val="21"/>
                <w:highlight w:val="none"/>
                <w:lang w:val="en-US" w:eastAsia="zh-CN"/>
              </w:rPr>
              <w:t>质量保证措施</w:t>
            </w:r>
            <w:r>
              <w:rPr>
                <w:rFonts w:hint="eastAsia"/>
                <w:color w:val="auto"/>
                <w:highlight w:val="none"/>
                <w:lang w:val="en-US" w:eastAsia="zh-CN"/>
              </w:rPr>
              <w:t>进行打分，包括质量保证措施阐述等方面。</w:t>
            </w:r>
          </w:p>
          <w:p w14:paraId="42D10F19">
            <w:pPr>
              <w:spacing w:line="400" w:lineRule="exact"/>
              <w:jc w:val="left"/>
              <w:rPr>
                <w:rFonts w:hint="eastAsia"/>
                <w:color w:val="auto"/>
                <w:highlight w:val="none"/>
                <w:lang w:val="en-US" w:eastAsia="zh-CN"/>
              </w:rPr>
            </w:pPr>
            <w:r>
              <w:rPr>
                <w:rFonts w:hint="eastAsia"/>
                <w:color w:val="auto"/>
                <w:highlight w:val="none"/>
                <w:lang w:val="en-US" w:eastAsia="zh-CN"/>
              </w:rPr>
              <w:t>1. 对本项目质量保证措施理解准确，质量与保密措施健全、符合项目及采购要求，方案详细、合理且切合项目需求，优于本项目采购相关要求，完整详细，可行性、实用性、针对性强，得5分；</w:t>
            </w:r>
          </w:p>
          <w:p w14:paraId="6E808A8C">
            <w:pPr>
              <w:spacing w:line="400" w:lineRule="exact"/>
              <w:jc w:val="left"/>
              <w:rPr>
                <w:rFonts w:hint="eastAsia"/>
                <w:color w:val="auto"/>
                <w:highlight w:val="none"/>
                <w:lang w:val="en-US" w:eastAsia="zh-CN"/>
              </w:rPr>
            </w:pPr>
            <w:r>
              <w:rPr>
                <w:rFonts w:hint="eastAsia"/>
                <w:color w:val="auto"/>
                <w:highlight w:val="none"/>
                <w:lang w:val="en-US" w:eastAsia="zh-CN"/>
              </w:rPr>
              <w:t>2. 对本项目质量保证措施理解基本准确，质量与保密措施基本符合项目及采购要求，方案详细、合理且适合本项目采购相关要求，完整详细，具有可行性、实用性、针对性，得3分；3. 对本项目质量保证措施理解有待提升，质量与保密措施存在缺陷，方案基本适合本项目采购相关要求，可行性、实用性、针对性有待改善，得1分；</w:t>
            </w:r>
          </w:p>
          <w:p w14:paraId="62F73842">
            <w:pPr>
              <w:spacing w:line="400" w:lineRule="exact"/>
              <w:jc w:val="left"/>
              <w:rPr>
                <w:rFonts w:hint="eastAsia"/>
                <w:color w:val="auto"/>
                <w:highlight w:val="none"/>
                <w:lang w:val="en-US" w:eastAsia="zh-CN"/>
              </w:rPr>
            </w:pPr>
            <w:r>
              <w:rPr>
                <w:rFonts w:hint="eastAsia"/>
                <w:color w:val="auto"/>
                <w:highlight w:val="none"/>
                <w:lang w:val="en-US" w:eastAsia="zh-CN"/>
              </w:rPr>
              <w:t>4. 未提供本项目质量保证措施相关内容的不得分。</w:t>
            </w:r>
          </w:p>
        </w:tc>
        <w:tc>
          <w:tcPr>
            <w:tcW w:w="833" w:type="dxa"/>
            <w:tcBorders>
              <w:top w:val="single" w:color="000000" w:sz="4" w:space="0"/>
              <w:left w:val="single" w:color="000000" w:sz="4" w:space="0"/>
              <w:bottom w:val="single" w:color="000000" w:sz="4" w:space="0"/>
              <w:right w:val="single" w:color="000000" w:sz="4" w:space="0"/>
            </w:tcBorders>
            <w:vAlign w:val="center"/>
          </w:tcPr>
          <w:p w14:paraId="18384F8C">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default" w:ascii="宋体" w:hAnsi="宋体" w:eastAsia="宋体"/>
                <w:color w:val="auto"/>
                <w:sz w:val="24"/>
                <w:highlight w:val="none"/>
                <w:lang w:val="en-US" w:eastAsia="zh-CN"/>
              </w:rPr>
            </w:pPr>
            <w:r>
              <w:rPr>
                <w:rFonts w:ascii="宋体" w:hAnsi="宋体" w:eastAsia="宋体" w:cs="宋体"/>
                <w:kern w:val="0"/>
                <w:sz w:val="20"/>
                <w:szCs w:val="20"/>
                <w:lang w:val="en-US" w:eastAsia="zh-CN" w:bidi="ar"/>
              </w:rPr>
              <w:t>0-5分</w:t>
            </w:r>
          </w:p>
        </w:tc>
      </w:tr>
      <w:tr w14:paraId="6095E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430" w:type="dxa"/>
            <w:vMerge w:val="continue"/>
            <w:vAlign w:val="center"/>
          </w:tcPr>
          <w:p w14:paraId="2EC9A865">
            <w:pPr>
              <w:widowControl/>
              <w:spacing w:line="360" w:lineRule="auto"/>
              <w:jc w:val="center"/>
              <w:rPr>
                <w:rFonts w:hint="eastAsia" w:ascii="宋体" w:hAnsi="宋体" w:cs="宋体"/>
                <w:b/>
                <w:color w:val="auto"/>
                <w:kern w:val="0"/>
                <w:szCs w:val="21"/>
                <w:highlight w:val="none"/>
              </w:rPr>
            </w:pPr>
          </w:p>
        </w:tc>
        <w:tc>
          <w:tcPr>
            <w:tcW w:w="1584" w:type="dxa"/>
            <w:tcBorders>
              <w:top w:val="single" w:color="000000" w:sz="4" w:space="0"/>
              <w:left w:val="single" w:color="000000" w:sz="4" w:space="0"/>
              <w:bottom w:val="single" w:color="000000" w:sz="4" w:space="0"/>
              <w:right w:val="single" w:color="000000" w:sz="4" w:space="0"/>
            </w:tcBorders>
            <w:vAlign w:val="center"/>
          </w:tcPr>
          <w:p w14:paraId="626934D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Times New Roman" w:eastAsia="宋体" w:cs="Times New Roman"/>
                <w:color w:val="auto"/>
                <w:kern w:val="0"/>
                <w:sz w:val="21"/>
                <w:szCs w:val="21"/>
                <w:highlight w:val="none"/>
                <w:lang w:val="en-US" w:eastAsia="zh-CN" w:bidi="ar-SA"/>
              </w:rPr>
            </w:pPr>
            <w:r>
              <w:rPr>
                <w:rFonts w:hint="eastAsia" w:ascii="宋体"/>
                <w:color w:val="auto"/>
                <w:kern w:val="0"/>
                <w:szCs w:val="21"/>
                <w:highlight w:val="none"/>
                <w:lang w:val="en-US" w:eastAsia="zh-CN"/>
              </w:rPr>
              <w:t>应急服务措施</w:t>
            </w:r>
          </w:p>
        </w:tc>
        <w:tc>
          <w:tcPr>
            <w:tcW w:w="5602" w:type="dxa"/>
            <w:tcBorders>
              <w:top w:val="single" w:color="000000" w:sz="4" w:space="0"/>
              <w:left w:val="single" w:color="000000" w:sz="4" w:space="0"/>
              <w:bottom w:val="single" w:color="000000" w:sz="4" w:space="0"/>
              <w:right w:val="single" w:color="000000" w:sz="4" w:space="0"/>
            </w:tcBorders>
            <w:vAlign w:val="top"/>
          </w:tcPr>
          <w:p w14:paraId="46F6F961">
            <w:pPr>
              <w:spacing w:line="400" w:lineRule="exact"/>
              <w:jc w:val="left"/>
              <w:rPr>
                <w:rFonts w:hint="eastAsia"/>
                <w:color w:val="auto"/>
                <w:highlight w:val="none"/>
                <w:lang w:val="en-US" w:eastAsia="zh-CN"/>
              </w:rPr>
            </w:pPr>
            <w:r>
              <w:rPr>
                <w:rFonts w:hint="eastAsia"/>
                <w:color w:val="auto"/>
                <w:highlight w:val="none"/>
                <w:lang w:val="en-US" w:eastAsia="zh-CN"/>
              </w:rPr>
              <w:t>磋商小组根据供应商对</w:t>
            </w:r>
            <w:r>
              <w:rPr>
                <w:rFonts w:hint="eastAsia" w:ascii="宋体"/>
                <w:color w:val="auto"/>
                <w:kern w:val="0"/>
                <w:szCs w:val="21"/>
                <w:highlight w:val="none"/>
                <w:lang w:val="en-US" w:eastAsia="zh-CN"/>
              </w:rPr>
              <w:t>应急服务措施</w:t>
            </w:r>
            <w:r>
              <w:rPr>
                <w:rFonts w:hint="eastAsia"/>
                <w:color w:val="auto"/>
                <w:highlight w:val="none"/>
                <w:lang w:val="en-US" w:eastAsia="zh-CN"/>
              </w:rPr>
              <w:t>进行打分，包括应急服务措施阐述等方面。</w:t>
            </w:r>
          </w:p>
          <w:p w14:paraId="7C9591F7">
            <w:pPr>
              <w:numPr>
                <w:ilvl w:val="0"/>
                <w:numId w:val="0"/>
              </w:numPr>
              <w:spacing w:line="400" w:lineRule="exact"/>
              <w:jc w:val="left"/>
              <w:rPr>
                <w:rFonts w:hint="eastAsia"/>
                <w:color w:val="auto"/>
                <w:highlight w:val="none"/>
                <w:lang w:val="en-US" w:eastAsia="zh-CN"/>
              </w:rPr>
            </w:pPr>
            <w:r>
              <w:rPr>
                <w:rFonts w:hint="eastAsia" w:ascii="Times New Roman" w:hAnsi="Times New Roman" w:eastAsia="宋体" w:cs="Times New Roman"/>
                <w:color w:val="auto"/>
                <w:kern w:val="2"/>
                <w:sz w:val="21"/>
                <w:szCs w:val="24"/>
                <w:lang w:val="en-US" w:eastAsia="zh-CN" w:bidi="ar-SA"/>
              </w:rPr>
              <w:t>1.</w:t>
            </w:r>
            <w:r>
              <w:rPr>
                <w:rFonts w:hint="eastAsia"/>
                <w:color w:val="auto"/>
                <w:highlight w:val="none"/>
                <w:lang w:val="en-US" w:eastAsia="zh-CN"/>
              </w:rPr>
              <w:t>对本项目</w:t>
            </w:r>
            <w:bookmarkStart w:id="34" w:name="OLE_LINK7"/>
            <w:r>
              <w:rPr>
                <w:rFonts w:hint="eastAsia"/>
                <w:color w:val="auto"/>
                <w:highlight w:val="none"/>
                <w:lang w:val="en-US" w:eastAsia="zh-CN"/>
              </w:rPr>
              <w:t>应急服务措施</w:t>
            </w:r>
            <w:bookmarkEnd w:id="34"/>
            <w:r>
              <w:rPr>
                <w:rFonts w:hint="eastAsia"/>
                <w:color w:val="auto"/>
                <w:highlight w:val="none"/>
                <w:lang w:val="en-US" w:eastAsia="zh-CN"/>
              </w:rPr>
              <w:t>理解准确，措施详细、符合项目及采购要求，方案详细、合理且切合项目需求，优于本项目采购相关要求，完整详细，可行性、实用性、针对性强，得5分；</w:t>
            </w:r>
          </w:p>
          <w:p w14:paraId="5959B2E6">
            <w:pPr>
              <w:numPr>
                <w:ilvl w:val="0"/>
                <w:numId w:val="0"/>
              </w:numPr>
              <w:spacing w:line="400" w:lineRule="exact"/>
              <w:jc w:val="left"/>
              <w:rPr>
                <w:rFonts w:hint="eastAsia"/>
                <w:color w:val="auto"/>
                <w:highlight w:val="none"/>
                <w:lang w:val="en-US" w:eastAsia="zh-CN"/>
              </w:rPr>
            </w:pPr>
            <w:r>
              <w:rPr>
                <w:rFonts w:hint="eastAsia"/>
                <w:color w:val="auto"/>
                <w:highlight w:val="none"/>
                <w:lang w:val="en-US" w:eastAsia="zh-CN"/>
              </w:rPr>
              <w:t>2. 对本项目应急服务措施理解基本准确，措施基本符合项目及采购要求，方案详细、合理且适合本项目采购相关要求，完整详细，具有可行性、实用性、针对性，得3分；</w:t>
            </w:r>
          </w:p>
          <w:p w14:paraId="317421DB">
            <w:pPr>
              <w:numPr>
                <w:ilvl w:val="0"/>
                <w:numId w:val="0"/>
              </w:numPr>
              <w:spacing w:line="400" w:lineRule="exact"/>
              <w:jc w:val="left"/>
              <w:rPr>
                <w:rFonts w:hint="eastAsia"/>
                <w:color w:val="auto"/>
                <w:highlight w:val="none"/>
                <w:lang w:val="en-US" w:eastAsia="zh-CN"/>
              </w:rPr>
            </w:pPr>
            <w:r>
              <w:rPr>
                <w:rFonts w:hint="eastAsia"/>
                <w:color w:val="auto"/>
                <w:highlight w:val="none"/>
                <w:lang w:val="en-US" w:eastAsia="zh-CN"/>
              </w:rPr>
              <w:t>3. 对本项目应急服务措施理解有待提升，措施存在缺陷，方案基本适合本项目采购相关要求，可行性、实用性、针对性有待改善，得1分；</w:t>
            </w:r>
          </w:p>
          <w:p w14:paraId="6626AF15">
            <w:pPr>
              <w:numPr>
                <w:ilvl w:val="0"/>
                <w:numId w:val="0"/>
              </w:numPr>
              <w:spacing w:line="400" w:lineRule="exact"/>
              <w:ind w:left="0" w:leftChars="0" w:firstLine="0" w:firstLineChars="0"/>
              <w:jc w:val="left"/>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4. 未提供本项目应急服务措施相关内容的不得分。</w:t>
            </w:r>
          </w:p>
        </w:tc>
        <w:tc>
          <w:tcPr>
            <w:tcW w:w="833" w:type="dxa"/>
            <w:tcBorders>
              <w:top w:val="single" w:color="000000" w:sz="4" w:space="0"/>
              <w:left w:val="single" w:color="000000" w:sz="4" w:space="0"/>
              <w:bottom w:val="single" w:color="000000" w:sz="4" w:space="0"/>
              <w:right w:val="single" w:color="000000" w:sz="4" w:space="0"/>
            </w:tcBorders>
            <w:vAlign w:val="center"/>
          </w:tcPr>
          <w:p w14:paraId="3CED3825">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eastAsia" w:ascii="宋体" w:hAnsi="宋体" w:eastAsia="宋体" w:cs="Times New Roman"/>
                <w:color w:val="auto"/>
                <w:kern w:val="2"/>
                <w:sz w:val="24"/>
                <w:szCs w:val="24"/>
                <w:highlight w:val="none"/>
                <w:lang w:val="en-US" w:eastAsia="zh-CN" w:bidi="ar-SA"/>
              </w:rPr>
            </w:pPr>
            <w:r>
              <w:rPr>
                <w:rFonts w:ascii="宋体" w:hAnsi="宋体" w:eastAsia="宋体" w:cs="宋体"/>
                <w:kern w:val="0"/>
                <w:sz w:val="20"/>
                <w:szCs w:val="20"/>
                <w:lang w:val="en-US" w:eastAsia="zh-CN" w:bidi="ar"/>
              </w:rPr>
              <w:t>0-5分</w:t>
            </w:r>
          </w:p>
        </w:tc>
      </w:tr>
      <w:tr w14:paraId="5D118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430" w:type="dxa"/>
            <w:vMerge w:val="continue"/>
            <w:vAlign w:val="center"/>
          </w:tcPr>
          <w:p w14:paraId="5E0D6F6B">
            <w:pPr>
              <w:widowControl/>
              <w:spacing w:line="360" w:lineRule="auto"/>
              <w:jc w:val="center"/>
              <w:rPr>
                <w:rFonts w:hint="eastAsia" w:ascii="宋体" w:hAnsi="宋体" w:cs="宋体"/>
                <w:b/>
                <w:color w:val="auto"/>
                <w:kern w:val="0"/>
                <w:szCs w:val="21"/>
                <w:highlight w:val="none"/>
              </w:rPr>
            </w:pPr>
          </w:p>
        </w:tc>
        <w:tc>
          <w:tcPr>
            <w:tcW w:w="1584" w:type="dxa"/>
            <w:tcBorders>
              <w:top w:val="single" w:color="000000" w:sz="4" w:space="0"/>
              <w:left w:val="single" w:color="000000" w:sz="4" w:space="0"/>
              <w:bottom w:val="single" w:color="000000" w:sz="4" w:space="0"/>
              <w:right w:val="single" w:color="000000" w:sz="4" w:space="0"/>
            </w:tcBorders>
            <w:vAlign w:val="center"/>
          </w:tcPr>
          <w:p w14:paraId="5AFBCF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Times New Roman" w:cs="Times New Roman"/>
                <w:color w:val="auto"/>
                <w:kern w:val="0"/>
                <w:szCs w:val="21"/>
                <w:highlight w:val="none"/>
                <w:lang w:val="en-US" w:eastAsia="zh-CN"/>
              </w:rPr>
            </w:pPr>
            <w:r>
              <w:rPr>
                <w:rFonts w:hint="eastAsia" w:ascii="宋体" w:hAnsi="Times New Roman" w:cs="Times New Roman"/>
                <w:color w:val="auto"/>
                <w:kern w:val="0"/>
                <w:szCs w:val="21"/>
                <w:highlight w:val="none"/>
                <w:lang w:val="en-US" w:eastAsia="zh-CN"/>
              </w:rPr>
              <w:t>风险识别与防控</w:t>
            </w:r>
          </w:p>
        </w:tc>
        <w:tc>
          <w:tcPr>
            <w:tcW w:w="5602" w:type="dxa"/>
            <w:tcBorders>
              <w:top w:val="single" w:color="000000" w:sz="4" w:space="0"/>
              <w:left w:val="single" w:color="000000" w:sz="4" w:space="0"/>
              <w:bottom w:val="single" w:color="000000" w:sz="4" w:space="0"/>
              <w:right w:val="single" w:color="000000" w:sz="4" w:space="0"/>
            </w:tcBorders>
            <w:vAlign w:val="top"/>
          </w:tcPr>
          <w:p w14:paraId="37B92B3E">
            <w:pPr>
              <w:spacing w:line="400" w:lineRule="exact"/>
              <w:jc w:val="left"/>
              <w:rPr>
                <w:rFonts w:hint="eastAsia"/>
                <w:color w:val="auto"/>
                <w:highlight w:val="none"/>
                <w:lang w:val="en-US" w:eastAsia="zh-CN"/>
              </w:rPr>
            </w:pPr>
            <w:r>
              <w:rPr>
                <w:rFonts w:hint="eastAsia"/>
                <w:color w:val="auto"/>
                <w:highlight w:val="none"/>
                <w:lang w:val="en-US" w:eastAsia="zh-CN"/>
              </w:rPr>
              <w:t>磋商小组根据供应商对</w:t>
            </w:r>
            <w:r>
              <w:rPr>
                <w:rFonts w:hint="eastAsia" w:ascii="宋体" w:hAnsi="Times New Roman" w:cs="Times New Roman"/>
                <w:color w:val="auto"/>
                <w:kern w:val="0"/>
                <w:szCs w:val="21"/>
                <w:highlight w:val="none"/>
                <w:lang w:val="en-US" w:eastAsia="zh-CN"/>
              </w:rPr>
              <w:t>风险识别与防控</w:t>
            </w:r>
            <w:r>
              <w:rPr>
                <w:rFonts w:hint="eastAsia"/>
                <w:color w:val="auto"/>
                <w:highlight w:val="none"/>
                <w:lang w:val="en-US" w:eastAsia="zh-CN"/>
              </w:rPr>
              <w:t>进行打分，包括</w:t>
            </w:r>
            <w:r>
              <w:rPr>
                <w:rFonts w:hint="eastAsia" w:ascii="宋体" w:hAnsi="Times New Roman" w:cs="Times New Roman"/>
                <w:color w:val="auto"/>
                <w:kern w:val="0"/>
                <w:szCs w:val="21"/>
                <w:highlight w:val="none"/>
                <w:lang w:val="en-US" w:eastAsia="zh-CN"/>
              </w:rPr>
              <w:t>风险识别与防控</w:t>
            </w:r>
            <w:r>
              <w:rPr>
                <w:rFonts w:hint="eastAsia"/>
                <w:color w:val="auto"/>
                <w:highlight w:val="none"/>
                <w:lang w:val="en-US" w:eastAsia="zh-CN"/>
              </w:rPr>
              <w:t>阐述等方面。</w:t>
            </w:r>
          </w:p>
          <w:p w14:paraId="49B5D9A2">
            <w:pPr>
              <w:numPr>
                <w:ilvl w:val="0"/>
                <w:numId w:val="0"/>
              </w:numPr>
              <w:spacing w:line="400" w:lineRule="exact"/>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1. 对本项目风险识别与防控理解准确，风险识别全面、防控措施完善、可落地且切合项目需求，优于本项目采购相关要求，完整详细，可行性、实用性、针对性强，得5分；</w:t>
            </w:r>
          </w:p>
          <w:p w14:paraId="32ADFC9B">
            <w:pPr>
              <w:numPr>
                <w:ilvl w:val="0"/>
                <w:numId w:val="0"/>
              </w:numPr>
              <w:spacing w:line="400" w:lineRule="exact"/>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2. 对本项目风险识别与防控理解基本准确，风险识别较全、防控措施较完善且适合本项目采购相关要求，完整详细，具有可行性、实用性、针对性，得3分；</w:t>
            </w:r>
          </w:p>
          <w:p w14:paraId="5C48D2FE">
            <w:pPr>
              <w:numPr>
                <w:ilvl w:val="0"/>
                <w:numId w:val="0"/>
              </w:numPr>
              <w:spacing w:line="400" w:lineRule="exact"/>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3. 对本项目风险识别与防控理解有待提升，风险识别一般、防控措施简单，方案基本适合本项目采购相关要求，可行性、实用性、针对性有待改善，得1分；</w:t>
            </w:r>
          </w:p>
          <w:p w14:paraId="308D729A">
            <w:pPr>
              <w:numPr>
                <w:ilvl w:val="0"/>
                <w:numId w:val="0"/>
              </w:numPr>
              <w:spacing w:line="400" w:lineRule="exact"/>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4. 未提供本项目风险识别与防控相关内容的不得分。</w:t>
            </w:r>
          </w:p>
        </w:tc>
        <w:tc>
          <w:tcPr>
            <w:tcW w:w="833" w:type="dxa"/>
            <w:tcBorders>
              <w:top w:val="single" w:color="000000" w:sz="4" w:space="0"/>
              <w:left w:val="single" w:color="000000" w:sz="4" w:space="0"/>
              <w:bottom w:val="single" w:color="000000" w:sz="4" w:space="0"/>
              <w:right w:val="single" w:color="000000" w:sz="4" w:space="0"/>
            </w:tcBorders>
            <w:vAlign w:val="top"/>
          </w:tcPr>
          <w:p w14:paraId="5F5CAE3D">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ascii="宋体" w:hAnsi="宋体" w:eastAsia="宋体" w:cs="宋体"/>
                <w:kern w:val="0"/>
                <w:sz w:val="20"/>
                <w:szCs w:val="20"/>
                <w:lang w:val="en-US" w:eastAsia="zh-CN" w:bidi="ar"/>
              </w:rPr>
            </w:pPr>
            <w:r>
              <w:rPr>
                <w:rFonts w:ascii="宋体" w:hAnsi="宋体" w:eastAsia="宋体" w:cs="宋体"/>
                <w:kern w:val="0"/>
                <w:sz w:val="20"/>
                <w:szCs w:val="20"/>
                <w:lang w:val="en-US" w:eastAsia="zh-CN" w:bidi="ar"/>
              </w:rPr>
              <w:t>0-5分</w:t>
            </w:r>
          </w:p>
        </w:tc>
      </w:tr>
      <w:tr w14:paraId="14D4B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430" w:type="dxa"/>
            <w:vMerge w:val="continue"/>
            <w:vAlign w:val="center"/>
          </w:tcPr>
          <w:p w14:paraId="0E84B44F">
            <w:pPr>
              <w:widowControl/>
              <w:spacing w:line="360" w:lineRule="auto"/>
              <w:jc w:val="center"/>
              <w:rPr>
                <w:rFonts w:hint="eastAsia" w:ascii="宋体" w:hAnsi="宋体" w:cs="宋体"/>
                <w:b/>
                <w:color w:val="auto"/>
                <w:kern w:val="0"/>
                <w:szCs w:val="21"/>
                <w:highlight w:val="none"/>
              </w:rPr>
            </w:pPr>
          </w:p>
        </w:tc>
        <w:tc>
          <w:tcPr>
            <w:tcW w:w="1584" w:type="dxa"/>
            <w:tcBorders>
              <w:top w:val="single" w:color="000000" w:sz="4" w:space="0"/>
              <w:left w:val="single" w:color="000000" w:sz="4" w:space="0"/>
              <w:bottom w:val="single" w:color="000000" w:sz="4" w:space="0"/>
              <w:right w:val="single" w:color="000000" w:sz="4" w:space="0"/>
            </w:tcBorders>
            <w:vAlign w:val="center"/>
          </w:tcPr>
          <w:p w14:paraId="6753070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Times New Roman" w:cs="Times New Roman"/>
                <w:color w:val="auto"/>
                <w:kern w:val="0"/>
                <w:szCs w:val="21"/>
                <w:highlight w:val="none"/>
                <w:lang w:val="en-US" w:eastAsia="zh-CN"/>
              </w:rPr>
            </w:pPr>
            <w:r>
              <w:rPr>
                <w:rFonts w:hint="eastAsia" w:ascii="宋体" w:hAnsi="Times New Roman" w:cs="Times New Roman"/>
                <w:color w:val="auto"/>
                <w:kern w:val="0"/>
                <w:szCs w:val="21"/>
                <w:highlight w:val="none"/>
                <w:lang w:val="en-US" w:eastAsia="zh-CN"/>
              </w:rPr>
              <w:t>成果质量管控</w:t>
            </w:r>
          </w:p>
        </w:tc>
        <w:tc>
          <w:tcPr>
            <w:tcW w:w="5602" w:type="dxa"/>
            <w:tcBorders>
              <w:top w:val="single" w:color="000000" w:sz="4" w:space="0"/>
              <w:left w:val="single" w:color="000000" w:sz="4" w:space="0"/>
              <w:bottom w:val="single" w:color="000000" w:sz="4" w:space="0"/>
              <w:right w:val="single" w:color="000000" w:sz="4" w:space="0"/>
            </w:tcBorders>
            <w:vAlign w:val="top"/>
          </w:tcPr>
          <w:p w14:paraId="5556A1E5">
            <w:pPr>
              <w:spacing w:line="400" w:lineRule="exact"/>
              <w:jc w:val="left"/>
              <w:rPr>
                <w:rFonts w:hint="eastAsia" w:ascii="Times New Roman" w:hAnsi="Times New Roman" w:cs="Times New Roman"/>
                <w:color w:val="auto"/>
                <w:highlight w:val="none"/>
                <w:lang w:val="en-US" w:eastAsia="zh-CN"/>
              </w:rPr>
            </w:pPr>
            <w:r>
              <w:rPr>
                <w:rFonts w:hint="eastAsia"/>
                <w:color w:val="auto"/>
                <w:highlight w:val="none"/>
                <w:lang w:val="en-US" w:eastAsia="zh-CN"/>
              </w:rPr>
              <w:t>磋商小组根据供应商对</w:t>
            </w:r>
            <w:r>
              <w:rPr>
                <w:rFonts w:hint="eastAsia" w:ascii="宋体" w:hAnsi="Times New Roman" w:cs="Times New Roman"/>
                <w:color w:val="auto"/>
                <w:kern w:val="0"/>
                <w:szCs w:val="21"/>
                <w:highlight w:val="none"/>
                <w:lang w:val="en-US" w:eastAsia="zh-CN"/>
              </w:rPr>
              <w:t>成果质量管控</w:t>
            </w:r>
            <w:r>
              <w:rPr>
                <w:rFonts w:hint="eastAsia"/>
                <w:color w:val="auto"/>
                <w:highlight w:val="none"/>
                <w:lang w:val="en-US" w:eastAsia="zh-CN"/>
              </w:rPr>
              <w:t>进行打分，包括</w:t>
            </w:r>
            <w:r>
              <w:rPr>
                <w:rFonts w:hint="eastAsia" w:ascii="宋体" w:hAnsi="Times New Roman" w:cs="Times New Roman"/>
                <w:color w:val="auto"/>
                <w:kern w:val="0"/>
                <w:szCs w:val="21"/>
                <w:highlight w:val="none"/>
                <w:lang w:val="en-US" w:eastAsia="zh-CN"/>
              </w:rPr>
              <w:t>成果质量管控</w:t>
            </w:r>
            <w:r>
              <w:rPr>
                <w:rFonts w:hint="eastAsia"/>
                <w:color w:val="auto"/>
                <w:highlight w:val="none"/>
                <w:lang w:val="en-US" w:eastAsia="zh-CN"/>
              </w:rPr>
              <w:t>阐述等方面。</w:t>
            </w:r>
          </w:p>
          <w:p w14:paraId="1D74FBEB">
            <w:pPr>
              <w:numPr>
                <w:ilvl w:val="0"/>
                <w:numId w:val="0"/>
              </w:numPr>
              <w:spacing w:line="400" w:lineRule="exact"/>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1. 对本项目成果质量管控理解准确，成果管控体系健全、过程严格、质量可靠且切合项目需求，优于本项目采购相关要求，完整详细，可行性、实用性、针对性强，得5分；</w:t>
            </w:r>
          </w:p>
          <w:p w14:paraId="7CBBDB06">
            <w:pPr>
              <w:numPr>
                <w:ilvl w:val="0"/>
                <w:numId w:val="0"/>
              </w:numPr>
              <w:spacing w:line="400" w:lineRule="exact"/>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2. 对本项目成果质量管控理解基本准确，成果管控体系较健全、管控较好且适合本项目采购相关要求，完整详细，具有可行性、实用性、针对性，得3分；</w:t>
            </w:r>
          </w:p>
          <w:p w14:paraId="6FB5FB98">
            <w:pPr>
              <w:numPr>
                <w:ilvl w:val="0"/>
                <w:numId w:val="0"/>
              </w:numPr>
              <w:spacing w:line="400" w:lineRule="exact"/>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3. 对本项目成果质量管控理解有待提升，成果管控一般、质量一般，方案基本适合本项目采购相关要求，可行性、实用性、针对性有待改善，得1分；</w:t>
            </w:r>
          </w:p>
          <w:p w14:paraId="78F838AD">
            <w:pPr>
              <w:numPr>
                <w:ilvl w:val="0"/>
                <w:numId w:val="0"/>
              </w:numPr>
              <w:spacing w:line="400" w:lineRule="exact"/>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4. 未提供本项目成果质量管控相关内容的不得分。</w:t>
            </w:r>
          </w:p>
        </w:tc>
        <w:tc>
          <w:tcPr>
            <w:tcW w:w="833" w:type="dxa"/>
            <w:tcBorders>
              <w:top w:val="single" w:color="000000" w:sz="4" w:space="0"/>
              <w:left w:val="single" w:color="000000" w:sz="4" w:space="0"/>
              <w:bottom w:val="single" w:color="000000" w:sz="4" w:space="0"/>
              <w:right w:val="single" w:color="000000" w:sz="4" w:space="0"/>
            </w:tcBorders>
            <w:vAlign w:val="top"/>
          </w:tcPr>
          <w:p w14:paraId="0C059844">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ascii="宋体" w:hAnsi="宋体" w:eastAsia="宋体" w:cs="宋体"/>
                <w:kern w:val="0"/>
                <w:sz w:val="20"/>
                <w:szCs w:val="20"/>
                <w:lang w:val="en-US" w:eastAsia="zh-CN" w:bidi="ar"/>
              </w:rPr>
            </w:pPr>
            <w:r>
              <w:rPr>
                <w:rFonts w:ascii="宋体" w:hAnsi="宋体" w:eastAsia="宋体" w:cs="宋体"/>
                <w:kern w:val="0"/>
                <w:sz w:val="20"/>
                <w:szCs w:val="20"/>
                <w:lang w:val="en-US" w:eastAsia="zh-CN" w:bidi="ar"/>
              </w:rPr>
              <w:t>0-5分</w:t>
            </w:r>
          </w:p>
        </w:tc>
      </w:tr>
      <w:tr w14:paraId="185DE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1430" w:type="dxa"/>
            <w:vMerge w:val="continue"/>
            <w:tcBorders>
              <w:bottom w:val="single" w:color="auto" w:sz="4" w:space="0"/>
            </w:tcBorders>
            <w:vAlign w:val="center"/>
          </w:tcPr>
          <w:p w14:paraId="1FEAADE3">
            <w:pPr>
              <w:spacing w:line="360" w:lineRule="auto"/>
              <w:jc w:val="center"/>
              <w:rPr>
                <w:rFonts w:hint="eastAsia" w:ascii="宋体" w:hAnsi="宋体" w:cs="宋体"/>
                <w:b/>
                <w:color w:val="auto"/>
                <w:kern w:val="0"/>
                <w:szCs w:val="21"/>
                <w:highlight w:val="none"/>
              </w:rPr>
            </w:pPr>
          </w:p>
        </w:tc>
        <w:tc>
          <w:tcPr>
            <w:tcW w:w="1584" w:type="dxa"/>
            <w:tcBorders>
              <w:top w:val="single" w:color="000000" w:sz="4" w:space="0"/>
              <w:left w:val="single" w:color="000000" w:sz="4" w:space="0"/>
              <w:bottom w:val="single" w:color="000000" w:sz="4" w:space="0"/>
              <w:right w:val="single" w:color="000000" w:sz="4" w:space="0"/>
            </w:tcBorders>
            <w:vAlign w:val="center"/>
          </w:tcPr>
          <w:p w14:paraId="310243A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Times New Roman" w:cs="Times New Roman"/>
                <w:color w:val="auto"/>
                <w:kern w:val="0"/>
                <w:szCs w:val="21"/>
                <w:highlight w:val="none"/>
                <w:lang w:val="en-US" w:eastAsia="zh-CN"/>
              </w:rPr>
            </w:pPr>
            <w:r>
              <w:rPr>
                <w:rFonts w:hint="eastAsia" w:ascii="宋体" w:hAnsi="Times New Roman" w:cs="Times New Roman"/>
                <w:color w:val="auto"/>
                <w:kern w:val="0"/>
                <w:szCs w:val="21"/>
                <w:highlight w:val="none"/>
                <w:lang w:val="en-US" w:eastAsia="zh-CN"/>
              </w:rPr>
              <w:t>后期技术支持</w:t>
            </w:r>
          </w:p>
        </w:tc>
        <w:tc>
          <w:tcPr>
            <w:tcW w:w="5602" w:type="dxa"/>
            <w:tcBorders>
              <w:top w:val="single" w:color="000000" w:sz="4" w:space="0"/>
              <w:left w:val="single" w:color="000000" w:sz="4" w:space="0"/>
              <w:bottom w:val="single" w:color="000000" w:sz="4" w:space="0"/>
              <w:right w:val="single" w:color="000000" w:sz="4" w:space="0"/>
            </w:tcBorders>
            <w:vAlign w:val="top"/>
          </w:tcPr>
          <w:p w14:paraId="1546DAA1">
            <w:pPr>
              <w:spacing w:line="400" w:lineRule="exact"/>
              <w:jc w:val="left"/>
              <w:rPr>
                <w:rFonts w:hint="eastAsia" w:ascii="Times New Roman" w:hAnsi="Times New Roman" w:cs="Times New Roman"/>
                <w:color w:val="auto"/>
                <w:highlight w:val="none"/>
                <w:lang w:val="en-US" w:eastAsia="zh-CN"/>
              </w:rPr>
            </w:pPr>
            <w:r>
              <w:rPr>
                <w:rFonts w:hint="eastAsia"/>
                <w:color w:val="auto"/>
                <w:highlight w:val="none"/>
                <w:lang w:val="en-US" w:eastAsia="zh-CN"/>
              </w:rPr>
              <w:t>磋商小组根据供应商对</w:t>
            </w:r>
            <w:r>
              <w:rPr>
                <w:rFonts w:hint="eastAsia" w:ascii="宋体" w:hAnsi="Times New Roman" w:cs="Times New Roman"/>
                <w:color w:val="auto"/>
                <w:kern w:val="0"/>
                <w:szCs w:val="21"/>
                <w:highlight w:val="none"/>
                <w:lang w:val="en-US" w:eastAsia="zh-CN"/>
              </w:rPr>
              <w:t>后期技术支持</w:t>
            </w:r>
            <w:r>
              <w:rPr>
                <w:rFonts w:hint="eastAsia"/>
                <w:color w:val="auto"/>
                <w:highlight w:val="none"/>
                <w:lang w:val="en-US" w:eastAsia="zh-CN"/>
              </w:rPr>
              <w:t>进行打分，包括</w:t>
            </w:r>
            <w:r>
              <w:rPr>
                <w:rFonts w:hint="eastAsia" w:ascii="Times New Roman" w:hAnsi="Times New Roman" w:cs="Times New Roman"/>
                <w:color w:val="auto"/>
                <w:highlight w:val="none"/>
                <w:lang w:val="en-US" w:eastAsia="zh-CN"/>
              </w:rPr>
              <w:t>后期技术支持</w:t>
            </w:r>
            <w:r>
              <w:rPr>
                <w:rFonts w:hint="eastAsia"/>
                <w:color w:val="auto"/>
                <w:highlight w:val="none"/>
                <w:lang w:val="en-US" w:eastAsia="zh-CN"/>
              </w:rPr>
              <w:t>等方面。</w:t>
            </w:r>
          </w:p>
          <w:p w14:paraId="1EA1D6BB">
            <w:pPr>
              <w:numPr>
                <w:ilvl w:val="0"/>
                <w:numId w:val="0"/>
              </w:numPr>
              <w:spacing w:line="400" w:lineRule="exact"/>
              <w:jc w:val="left"/>
              <w:rPr>
                <w:rFonts w:hint="eastAsia" w:ascii="Times New Roman" w:hAnsi="Times New Roman" w:cs="Times New Roman"/>
                <w:color w:val="auto"/>
                <w:highlight w:val="none"/>
                <w:lang w:val="en-US" w:eastAsia="zh-CN"/>
              </w:rPr>
            </w:pPr>
            <w:r>
              <w:rPr>
                <w:rFonts w:hint="eastAsia" w:ascii="Times New Roman" w:hAnsi="Times New Roman" w:eastAsia="宋体" w:cs="Times New Roman"/>
                <w:color w:val="auto"/>
                <w:kern w:val="2"/>
                <w:sz w:val="21"/>
                <w:szCs w:val="24"/>
                <w:lang w:val="en-US" w:eastAsia="zh-CN" w:bidi="ar-SA"/>
              </w:rPr>
              <w:t>1.</w:t>
            </w:r>
            <w:r>
              <w:rPr>
                <w:rFonts w:hint="eastAsia" w:ascii="Times New Roman" w:hAnsi="Times New Roman" w:cs="Times New Roman"/>
                <w:color w:val="auto"/>
                <w:highlight w:val="none"/>
                <w:lang w:val="en-US" w:eastAsia="zh-CN"/>
              </w:rPr>
              <w:t>对本项目后期技术支持理解准确，技术支持方案完善、支持及时、持续服务到位且切合项目需求，优于本项目采购相关要求，完整详细，可行性、实用性、针对性强，得5分；</w:t>
            </w:r>
          </w:p>
          <w:p w14:paraId="2CE690E1">
            <w:pPr>
              <w:numPr>
                <w:ilvl w:val="0"/>
                <w:numId w:val="0"/>
              </w:numPr>
              <w:spacing w:line="400" w:lineRule="exact"/>
              <w:ind w:left="0" w:leftChars="0" w:firstLine="0" w:firstLineChars="0"/>
              <w:jc w:val="left"/>
              <w:rPr>
                <w:rFonts w:hint="eastAsia" w:ascii="Times New Roman" w:hAnsi="Times New Roman" w:cs="Times New Roman"/>
                <w:color w:val="auto"/>
                <w:highlight w:val="none"/>
                <w:lang w:val="en-US" w:eastAsia="zh-CN"/>
              </w:rPr>
            </w:pPr>
            <w:r>
              <w:rPr>
                <w:rFonts w:hint="eastAsia" w:ascii="Times New Roman" w:hAnsi="Times New Roman" w:eastAsia="宋体" w:cs="Times New Roman"/>
                <w:color w:val="auto"/>
                <w:kern w:val="2"/>
                <w:sz w:val="21"/>
                <w:szCs w:val="24"/>
                <w:lang w:val="en-US" w:eastAsia="zh-CN" w:bidi="ar-SA"/>
              </w:rPr>
              <w:t>2.</w:t>
            </w:r>
            <w:r>
              <w:rPr>
                <w:rFonts w:hint="eastAsia" w:ascii="Times New Roman" w:hAnsi="Times New Roman" w:cs="Times New Roman"/>
                <w:color w:val="auto"/>
                <w:highlight w:val="none"/>
                <w:lang w:val="en-US" w:eastAsia="zh-CN"/>
              </w:rPr>
              <w:t>对本项目后期技术支持理解基本准确，方案较完善、支持较及时且适合本项目采购相关要求，完整详细，具有可行性、实用性、针对性，得3分；</w:t>
            </w:r>
          </w:p>
          <w:p w14:paraId="6D63156E">
            <w:pPr>
              <w:numPr>
                <w:ilvl w:val="0"/>
                <w:numId w:val="0"/>
              </w:numPr>
              <w:spacing w:line="400" w:lineRule="exact"/>
              <w:ind w:left="0" w:leftChars="0" w:firstLine="0" w:firstLineChars="0"/>
              <w:jc w:val="left"/>
              <w:rPr>
                <w:rFonts w:hint="eastAsia" w:ascii="Times New Roman" w:hAnsi="Times New Roman" w:cs="Times New Roman"/>
                <w:color w:val="auto"/>
                <w:highlight w:val="none"/>
                <w:lang w:val="en-US" w:eastAsia="zh-CN"/>
              </w:rPr>
            </w:pPr>
            <w:r>
              <w:rPr>
                <w:rFonts w:hint="eastAsia" w:ascii="Times New Roman" w:hAnsi="Times New Roman" w:eastAsia="宋体" w:cs="Times New Roman"/>
                <w:color w:val="auto"/>
                <w:kern w:val="2"/>
                <w:sz w:val="21"/>
                <w:szCs w:val="24"/>
                <w:lang w:val="en-US" w:eastAsia="zh-CN" w:bidi="ar-SA"/>
              </w:rPr>
              <w:t>3.</w:t>
            </w:r>
            <w:r>
              <w:rPr>
                <w:rFonts w:hint="eastAsia" w:ascii="Times New Roman" w:hAnsi="Times New Roman" w:cs="Times New Roman"/>
                <w:color w:val="auto"/>
                <w:highlight w:val="none"/>
                <w:lang w:val="en-US" w:eastAsia="zh-CN"/>
              </w:rPr>
              <w:t>对本项目后期技术支持理解有待提升，运维行性、实用性、针对性有待改善，得1分；</w:t>
            </w:r>
          </w:p>
          <w:p w14:paraId="58401C87">
            <w:pPr>
              <w:numPr>
                <w:ilvl w:val="0"/>
                <w:numId w:val="0"/>
              </w:numPr>
              <w:spacing w:line="400" w:lineRule="exact"/>
              <w:ind w:leftChars="0"/>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4. 未提供本项目后期技术支持相关内容的不得分。</w:t>
            </w:r>
          </w:p>
        </w:tc>
        <w:tc>
          <w:tcPr>
            <w:tcW w:w="833" w:type="dxa"/>
            <w:tcBorders>
              <w:top w:val="single" w:color="000000" w:sz="4" w:space="0"/>
              <w:left w:val="single" w:color="000000" w:sz="4" w:space="0"/>
              <w:bottom w:val="single" w:color="000000" w:sz="4" w:space="0"/>
              <w:right w:val="single" w:color="000000" w:sz="4" w:space="0"/>
            </w:tcBorders>
            <w:vAlign w:val="top"/>
          </w:tcPr>
          <w:p w14:paraId="58D46BF9">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color w:val="auto"/>
                <w:sz w:val="24"/>
                <w:highlight w:val="none"/>
              </w:rPr>
            </w:pPr>
            <w:r>
              <w:rPr>
                <w:rFonts w:ascii="宋体" w:hAnsi="宋体" w:eastAsia="宋体" w:cs="宋体"/>
                <w:kern w:val="0"/>
                <w:sz w:val="20"/>
                <w:szCs w:val="20"/>
                <w:lang w:val="en-US" w:eastAsia="zh-CN" w:bidi="ar"/>
              </w:rPr>
              <w:t>0-5分</w:t>
            </w:r>
          </w:p>
        </w:tc>
      </w:tr>
      <w:tr w14:paraId="6D6B9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1430" w:type="dxa"/>
            <w:tcBorders>
              <w:top w:val="single" w:color="auto" w:sz="4" w:space="0"/>
            </w:tcBorders>
            <w:vAlign w:val="center"/>
          </w:tcPr>
          <w:p w14:paraId="26748DBA">
            <w:pPr>
              <w:spacing w:line="360" w:lineRule="auto"/>
              <w:jc w:val="center"/>
              <w:rPr>
                <w:rFonts w:hint="eastAsia" w:ascii="宋体" w:hAnsi="宋体"/>
                <w:b/>
                <w:bCs/>
                <w:color w:val="auto"/>
                <w:kern w:val="0"/>
                <w:szCs w:val="21"/>
                <w:highlight w:val="none"/>
              </w:rPr>
            </w:pPr>
            <w:r>
              <w:rPr>
                <w:rFonts w:hint="eastAsia" w:ascii="宋体" w:hAnsi="宋体"/>
                <w:b/>
                <w:bCs/>
                <w:color w:val="auto"/>
                <w:kern w:val="0"/>
                <w:szCs w:val="21"/>
                <w:highlight w:val="none"/>
              </w:rPr>
              <w:t>报价部分</w:t>
            </w:r>
          </w:p>
          <w:p w14:paraId="5A479418">
            <w:pPr>
              <w:spacing w:line="360" w:lineRule="auto"/>
              <w:jc w:val="center"/>
              <w:rPr>
                <w:rFonts w:hint="eastAsia" w:ascii="宋体" w:hAnsi="宋体"/>
                <w:b/>
                <w:bCs/>
                <w:color w:val="auto"/>
                <w:kern w:val="0"/>
                <w:szCs w:val="21"/>
                <w:highlight w:val="none"/>
              </w:rPr>
            </w:pPr>
            <w:r>
              <w:rPr>
                <w:rFonts w:hint="eastAsia" w:ascii="宋体" w:hAnsi="宋体"/>
                <w:b/>
                <w:bCs/>
                <w:color w:val="auto"/>
                <w:kern w:val="0"/>
                <w:szCs w:val="21"/>
                <w:highlight w:val="none"/>
              </w:rPr>
              <w:t>（</w:t>
            </w:r>
            <w:r>
              <w:rPr>
                <w:rFonts w:hint="eastAsia" w:ascii="宋体" w:hAnsi="宋体"/>
                <w:b/>
                <w:bCs/>
                <w:color w:val="auto"/>
                <w:kern w:val="0"/>
                <w:szCs w:val="21"/>
                <w:highlight w:val="none"/>
                <w:lang w:val="en-US" w:eastAsia="zh-CN"/>
              </w:rPr>
              <w:t>20</w:t>
            </w:r>
            <w:r>
              <w:rPr>
                <w:rFonts w:hint="eastAsia" w:ascii="宋体" w:hAnsi="宋体"/>
                <w:b/>
                <w:bCs/>
                <w:color w:val="auto"/>
                <w:kern w:val="0"/>
                <w:szCs w:val="21"/>
                <w:highlight w:val="none"/>
              </w:rPr>
              <w:t>分）</w:t>
            </w:r>
          </w:p>
        </w:tc>
        <w:tc>
          <w:tcPr>
            <w:tcW w:w="1584" w:type="dxa"/>
            <w:tcBorders>
              <w:top w:val="single" w:color="auto" w:sz="4" w:space="0"/>
              <w:left w:val="single" w:color="000000" w:sz="4" w:space="0"/>
              <w:bottom w:val="single" w:color="auto" w:sz="4" w:space="0"/>
              <w:right w:val="single" w:color="000000" w:sz="4" w:space="0"/>
            </w:tcBorders>
            <w:vAlign w:val="center"/>
          </w:tcPr>
          <w:p w14:paraId="6FC1AA13">
            <w:pPr>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报价分</w:t>
            </w:r>
          </w:p>
          <w:p w14:paraId="0B4D476F">
            <w:pPr>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20</w:t>
            </w:r>
            <w:r>
              <w:rPr>
                <w:rFonts w:hint="eastAsia" w:ascii="宋体" w:hAnsi="宋体"/>
                <w:color w:val="auto"/>
                <w:szCs w:val="21"/>
                <w:highlight w:val="none"/>
              </w:rPr>
              <w:t>分）</w:t>
            </w:r>
          </w:p>
        </w:tc>
        <w:tc>
          <w:tcPr>
            <w:tcW w:w="5602" w:type="dxa"/>
            <w:tcBorders>
              <w:top w:val="single" w:color="auto" w:sz="4" w:space="0"/>
              <w:left w:val="single" w:color="000000" w:sz="4" w:space="0"/>
              <w:bottom w:val="single" w:color="auto" w:sz="4" w:space="0"/>
              <w:right w:val="single" w:color="000000" w:sz="4" w:space="0"/>
            </w:tcBorders>
            <w:vAlign w:val="center"/>
          </w:tcPr>
          <w:p w14:paraId="1FE281DE">
            <w:pPr>
              <w:snapToGrid w:val="0"/>
              <w:spacing w:line="360" w:lineRule="auto"/>
              <w:rPr>
                <w:rFonts w:hint="eastAsia" w:ascii="宋体" w:hAnsi="宋体"/>
                <w:color w:val="auto"/>
                <w:szCs w:val="21"/>
                <w:highlight w:val="none"/>
              </w:rPr>
            </w:pPr>
            <w:r>
              <w:rPr>
                <w:rFonts w:hint="eastAsia" w:ascii="宋体" w:hAnsi="宋体"/>
                <w:color w:val="auto"/>
                <w:szCs w:val="21"/>
                <w:highlight w:val="none"/>
              </w:rPr>
              <w:t>对磋商文件做出实质性响应的所有合格供应商中的最低报价（总报价）作为本次评标的磋商基准价，其磋商报价得满分，其他供应商的磋商报价得分按照下列公式计算：磋商报价得分＝（磋商基准价/最后磋商报价）×</w:t>
            </w:r>
            <w:r>
              <w:rPr>
                <w:rFonts w:hint="eastAsia" w:ascii="宋体" w:hAnsi="宋体"/>
                <w:color w:val="auto"/>
                <w:szCs w:val="21"/>
                <w:highlight w:val="none"/>
                <w:lang w:val="en-US" w:eastAsia="zh-CN"/>
              </w:rPr>
              <w:t>20</w:t>
            </w:r>
            <w:r>
              <w:rPr>
                <w:rFonts w:hint="eastAsia" w:ascii="宋体" w:hAnsi="宋体"/>
                <w:color w:val="auto"/>
                <w:szCs w:val="21"/>
                <w:highlight w:val="none"/>
              </w:rPr>
              <w:t>％×100，四舍五入小数点后保留两位。</w:t>
            </w:r>
          </w:p>
        </w:tc>
        <w:tc>
          <w:tcPr>
            <w:tcW w:w="833" w:type="dxa"/>
            <w:tcBorders>
              <w:top w:val="single" w:color="auto" w:sz="4" w:space="0"/>
              <w:left w:val="single" w:color="000000" w:sz="4" w:space="0"/>
              <w:bottom w:val="single" w:color="auto" w:sz="4" w:space="0"/>
              <w:right w:val="single" w:color="000000" w:sz="4" w:space="0"/>
            </w:tcBorders>
            <w:vAlign w:val="center"/>
          </w:tcPr>
          <w:p w14:paraId="3FF745C3">
            <w:pPr>
              <w:snapToGrid w:val="0"/>
              <w:spacing w:line="360" w:lineRule="auto"/>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0-15分</w:t>
            </w:r>
          </w:p>
        </w:tc>
      </w:tr>
    </w:tbl>
    <w:p w14:paraId="5597252E">
      <w:pPr>
        <w:rPr>
          <w:color w:val="auto"/>
          <w:highlight w:val="none"/>
        </w:rPr>
      </w:pPr>
    </w:p>
    <w:p w14:paraId="34749F7C">
      <w:pPr>
        <w:pStyle w:val="193"/>
        <w:numPr>
          <w:ilvl w:val="0"/>
          <w:numId w:val="0"/>
        </w:numPr>
        <w:spacing w:line="360" w:lineRule="auto"/>
        <w:ind w:firstLine="422" w:firstLineChars="200"/>
        <w:rPr>
          <w:rFonts w:hint="eastAsia"/>
          <w:color w:val="auto"/>
          <w:highlight w:val="none"/>
        </w:rPr>
      </w:pPr>
      <w:r>
        <w:rPr>
          <w:rFonts w:hint="eastAsia"/>
          <w:color w:val="auto"/>
          <w:highlight w:val="none"/>
        </w:rPr>
        <w:t>（三）分值汇总</w:t>
      </w:r>
    </w:p>
    <w:p w14:paraId="02AC667D">
      <w:pPr>
        <w:spacing w:line="360" w:lineRule="auto"/>
        <w:ind w:firstLine="420" w:firstLineChars="200"/>
        <w:rPr>
          <w:color w:val="auto"/>
          <w:highlight w:val="none"/>
        </w:rPr>
      </w:pPr>
      <w:r>
        <w:rPr>
          <w:rFonts w:hint="eastAsia"/>
          <w:color w:val="auto"/>
          <w:highlight w:val="none"/>
        </w:rPr>
        <w:t>（1）磋商小组各成员应当独立对每个有效响应的文件进行评价、打分，然后汇总每个供应商每项评分因素的得分（四舍五入保留至小数点后两位数），再将供应商每项评分因素的得分进行汇总，得到该供应商的技术资信分之和。</w:t>
      </w:r>
    </w:p>
    <w:p w14:paraId="00040BB7">
      <w:pPr>
        <w:spacing w:line="360" w:lineRule="auto"/>
        <w:ind w:firstLine="420" w:firstLineChars="200"/>
        <w:rPr>
          <w:color w:val="auto"/>
          <w:highlight w:val="none"/>
        </w:rPr>
      </w:pPr>
      <w:r>
        <w:rPr>
          <w:rFonts w:hint="eastAsia"/>
          <w:color w:val="auto"/>
          <w:highlight w:val="none"/>
        </w:rPr>
        <w:t>（2）将每个供应商的商务和技术之和加上根据上述标准计算出的价格分，即为该供应商的综合总得分。</w:t>
      </w:r>
    </w:p>
    <w:p w14:paraId="11AC3ED8">
      <w:pPr>
        <w:spacing w:line="360" w:lineRule="auto"/>
        <w:ind w:firstLine="420" w:firstLineChars="200"/>
        <w:rPr>
          <w:color w:val="auto"/>
          <w:highlight w:val="none"/>
        </w:rPr>
      </w:pPr>
      <w:r>
        <w:rPr>
          <w:rFonts w:hint="eastAsia"/>
          <w:color w:val="auto"/>
          <w:highlight w:val="none"/>
        </w:rPr>
        <w:t>如果综合总得分出现两家或两家以上相同者，按报价由低到高顺序排列。得分且报价相同的则抽签决定排序。抽签规则如下：</w:t>
      </w:r>
    </w:p>
    <w:p w14:paraId="0FB2B2DF">
      <w:pPr>
        <w:spacing w:line="360" w:lineRule="auto"/>
        <w:ind w:firstLine="420" w:firstLineChars="200"/>
        <w:rPr>
          <w:color w:val="auto"/>
          <w:highlight w:val="none"/>
        </w:rPr>
      </w:pPr>
      <w:r>
        <w:rPr>
          <w:rFonts w:hint="eastAsia"/>
          <w:color w:val="auto"/>
          <w:highlight w:val="none"/>
        </w:rPr>
        <w:t xml:space="preserve">⑴第一轮：确定抽签先后顺序。在箱内放置与磋商报价家数相等个数的球，球上分别贴有“1、2、3……”顺序号的标签，供应商按签到表顺序依次抽取、登记作为抽签顺序，抽取的球不再放入箱内。抽取大号的先抽取，小号的后抽取；       </w:t>
      </w:r>
    </w:p>
    <w:p w14:paraId="32816C9C">
      <w:pPr>
        <w:spacing w:line="360" w:lineRule="auto"/>
        <w:ind w:firstLine="420" w:firstLineChars="200"/>
        <w:rPr>
          <w:color w:val="auto"/>
          <w:highlight w:val="none"/>
        </w:rPr>
      </w:pPr>
      <w:r>
        <w:rPr>
          <w:rFonts w:hint="eastAsia"/>
          <w:color w:val="auto"/>
          <w:highlight w:val="none"/>
        </w:rPr>
        <w:t>⑵第二轮：确定排名顺序。在箱内放置与有效磋商报价家数相等个数的球，球上分别贴有“1、2、3……”顺序号的标签，供应商按已确定的抽签先后顺序抽取。抽取登记后，抽取的球不再放在箱内，抽取大号球的排名靠前，抽取小号球的排名靠后。</w:t>
      </w:r>
    </w:p>
    <w:p w14:paraId="3E8C5250">
      <w:pPr>
        <w:pStyle w:val="209"/>
        <w:spacing w:before="240"/>
        <w:jc w:val="center"/>
        <w:outlineLvl w:val="1"/>
        <w:rPr>
          <w:color w:val="auto"/>
          <w:sz w:val="32"/>
          <w:szCs w:val="32"/>
          <w:highlight w:val="none"/>
        </w:rPr>
      </w:pPr>
      <w:r>
        <w:rPr>
          <w:rFonts w:hint="eastAsia" w:ascii="黑体" w:hAnsi="黑体" w:eastAsia="黑体"/>
          <w:b w:val="0"/>
          <w:color w:val="auto"/>
          <w:sz w:val="52"/>
          <w:szCs w:val="52"/>
          <w:highlight w:val="none"/>
        </w:rPr>
        <w:br w:type="page"/>
      </w:r>
      <w:bookmarkEnd w:id="31"/>
      <w:bookmarkStart w:id="35" w:name="_Toc1872"/>
      <w:r>
        <w:rPr>
          <w:rFonts w:hint="eastAsia"/>
          <w:color w:val="auto"/>
          <w:sz w:val="32"/>
          <w:szCs w:val="32"/>
          <w:highlight w:val="none"/>
        </w:rPr>
        <w:t>第五章 合同书格式</w:t>
      </w:r>
      <w:bookmarkEnd w:id="35"/>
    </w:p>
    <w:p w14:paraId="5FF2351A">
      <w:pPr>
        <w:tabs>
          <w:tab w:val="left" w:pos="720"/>
        </w:tabs>
        <w:spacing w:line="360" w:lineRule="auto"/>
        <w:jc w:val="center"/>
        <w:rPr>
          <w:rFonts w:hint="eastAsia" w:ascii="仿宋" w:hAnsi="仿宋" w:eastAsia="仿宋"/>
          <w:b/>
          <w:color w:val="auto"/>
          <w:sz w:val="72"/>
          <w:szCs w:val="72"/>
          <w:highlight w:val="none"/>
        </w:rPr>
      </w:pPr>
      <w:bookmarkStart w:id="36" w:name="_Toc98303072"/>
      <w:bookmarkStart w:id="37" w:name="_Toc113338312"/>
    </w:p>
    <w:bookmarkEnd w:id="36"/>
    <w:bookmarkEnd w:id="37"/>
    <w:p w14:paraId="286B2F10">
      <w:pPr>
        <w:spacing w:line="480" w:lineRule="auto"/>
        <w:jc w:val="center"/>
        <w:rPr>
          <w:rFonts w:hint="eastAsia" w:ascii="宋体" w:hAnsi="宋体"/>
          <w:b/>
          <w:color w:val="auto"/>
          <w:sz w:val="24"/>
          <w:highlight w:val="none"/>
        </w:rPr>
      </w:pPr>
      <w:bookmarkStart w:id="38" w:name="_Toc357945893"/>
      <w:bookmarkStart w:id="39" w:name="_Toc354411318"/>
      <w:bookmarkStart w:id="40" w:name="_Toc368471393"/>
      <w:bookmarkStart w:id="41" w:name="_Toc354501100"/>
      <w:bookmarkStart w:id="42" w:name="_Toc354411825"/>
      <w:bookmarkStart w:id="43" w:name="_Toc357945791"/>
      <w:bookmarkStart w:id="44" w:name="_Toc357510893"/>
    </w:p>
    <w:p w14:paraId="28CDD067">
      <w:pPr>
        <w:spacing w:line="480" w:lineRule="auto"/>
        <w:jc w:val="center"/>
        <w:rPr>
          <w:rFonts w:hint="eastAsia" w:ascii="宋体" w:hAnsi="宋体"/>
          <w:b/>
          <w:color w:val="auto"/>
          <w:sz w:val="32"/>
          <w:szCs w:val="32"/>
          <w:highlight w:val="none"/>
        </w:rPr>
      </w:pPr>
      <w:r>
        <w:rPr>
          <w:rFonts w:ascii="宋体" w:hAnsi="宋体"/>
          <w:b/>
          <w:color w:val="auto"/>
          <w:sz w:val="32"/>
          <w:szCs w:val="32"/>
          <w:highlight w:val="none"/>
        </w:rPr>
        <w:t>政府采购合同</w:t>
      </w:r>
      <w:r>
        <w:rPr>
          <w:rFonts w:hint="eastAsia" w:ascii="宋体" w:hAnsi="宋体"/>
          <w:b/>
          <w:color w:val="auto"/>
          <w:sz w:val="32"/>
          <w:szCs w:val="32"/>
          <w:highlight w:val="none"/>
        </w:rPr>
        <w:t>参考范本</w:t>
      </w:r>
    </w:p>
    <w:p w14:paraId="4D7E58DA">
      <w:pPr>
        <w:spacing w:line="48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（服务类）</w:t>
      </w:r>
    </w:p>
    <w:p w14:paraId="3403F11A">
      <w:pPr>
        <w:spacing w:line="480" w:lineRule="auto"/>
        <w:jc w:val="center"/>
        <w:rPr>
          <w:rFonts w:hint="eastAsia" w:ascii="宋体" w:hAnsi="宋体"/>
          <w:b/>
          <w:color w:val="auto"/>
          <w:sz w:val="24"/>
          <w:highlight w:val="none"/>
        </w:rPr>
      </w:pPr>
    </w:p>
    <w:p w14:paraId="25E26761">
      <w:pPr>
        <w:spacing w:line="480" w:lineRule="auto"/>
        <w:jc w:val="center"/>
        <w:rPr>
          <w:rFonts w:hint="eastAsia" w:ascii="宋体" w:hAnsi="宋体"/>
          <w:b/>
          <w:color w:val="auto"/>
          <w:sz w:val="24"/>
          <w:highlight w:val="none"/>
        </w:rPr>
      </w:pPr>
    </w:p>
    <w:p w14:paraId="2369EAEE">
      <w:pPr>
        <w:spacing w:line="480" w:lineRule="auto"/>
        <w:jc w:val="center"/>
        <w:rPr>
          <w:rFonts w:hint="eastAsia" w:ascii="宋体" w:hAnsi="宋体"/>
          <w:b/>
          <w:color w:val="auto"/>
          <w:sz w:val="24"/>
          <w:highlight w:val="none"/>
        </w:rPr>
      </w:pPr>
    </w:p>
    <w:p w14:paraId="25124178">
      <w:pPr>
        <w:spacing w:line="360" w:lineRule="auto"/>
        <w:jc w:val="center"/>
        <w:rPr>
          <w:rFonts w:hint="eastAsia" w:ascii="宋体" w:hAnsi="宋体"/>
          <w:b/>
          <w:color w:val="auto"/>
          <w:sz w:val="24"/>
          <w:highlight w:val="none"/>
        </w:rPr>
      </w:pPr>
      <w:r>
        <w:rPr>
          <w:rFonts w:hint="eastAsia" w:ascii="宋体" w:hAnsi="宋体"/>
          <w:b/>
          <w:color w:val="auto"/>
          <w:sz w:val="24"/>
          <w:highlight w:val="none"/>
        </w:rPr>
        <w:t>第一部分 合同书</w:t>
      </w:r>
    </w:p>
    <w:p w14:paraId="1F346D3C">
      <w:pPr>
        <w:spacing w:line="480" w:lineRule="auto"/>
        <w:jc w:val="center"/>
        <w:rPr>
          <w:rFonts w:hint="eastAsia" w:ascii="宋体" w:hAnsi="宋体"/>
          <w:b/>
          <w:color w:val="auto"/>
          <w:sz w:val="24"/>
          <w:highlight w:val="none"/>
        </w:rPr>
      </w:pPr>
    </w:p>
    <w:p w14:paraId="7F62E0D6">
      <w:pPr>
        <w:spacing w:line="480" w:lineRule="auto"/>
        <w:jc w:val="center"/>
        <w:rPr>
          <w:rFonts w:hint="eastAsia" w:ascii="宋体" w:hAnsi="宋体"/>
          <w:b/>
          <w:color w:val="auto"/>
          <w:sz w:val="24"/>
          <w:highlight w:val="none"/>
        </w:rPr>
      </w:pPr>
    </w:p>
    <w:p w14:paraId="2D6625E7">
      <w:pPr>
        <w:spacing w:line="480" w:lineRule="auto"/>
        <w:jc w:val="center"/>
        <w:rPr>
          <w:rFonts w:hint="eastAsia" w:ascii="宋体" w:hAnsi="宋体"/>
          <w:b/>
          <w:color w:val="auto"/>
          <w:sz w:val="24"/>
          <w:highlight w:val="none"/>
        </w:rPr>
      </w:pPr>
    </w:p>
    <w:p w14:paraId="0F4354C7">
      <w:pPr>
        <w:spacing w:before="120" w:line="480" w:lineRule="auto"/>
        <w:ind w:left="960"/>
        <w:rPr>
          <w:rFonts w:hint="eastAsia" w:ascii="宋体" w:hAnsi="宋体"/>
          <w:color w:val="auto"/>
          <w:sz w:val="24"/>
          <w:highlight w:val="none"/>
          <w:u w:val="single"/>
        </w:rPr>
      </w:pPr>
      <w:r>
        <w:rPr>
          <w:rFonts w:hint="eastAsia" w:ascii="宋体" w:hAnsi="宋体"/>
          <w:color w:val="auto"/>
          <w:sz w:val="24"/>
          <w:highlight w:val="none"/>
        </w:rPr>
        <w:t>项目名称：</w:t>
      </w:r>
      <w:r>
        <w:rPr>
          <w:rFonts w:hint="eastAsia" w:ascii="宋体" w:hAnsi="宋体"/>
          <w:color w:val="auto"/>
          <w:sz w:val="24"/>
          <w:highlight w:val="none"/>
          <w:u w:val="single"/>
        </w:rPr>
        <w:t xml:space="preserve">           </w:t>
      </w:r>
      <w:r>
        <w:rPr>
          <w:rFonts w:hint="eastAsia" w:ascii="宋体" w:hAnsi="宋体"/>
          <w:i/>
          <w:iCs/>
          <w:color w:val="auto"/>
          <w:sz w:val="24"/>
          <w:highlight w:val="none"/>
        </w:rPr>
        <w:t>（分包项目须填写完整的分包号及分包名称）</w:t>
      </w:r>
    </w:p>
    <w:p w14:paraId="214D2FBC">
      <w:pPr>
        <w:spacing w:before="120" w:line="480" w:lineRule="auto"/>
        <w:ind w:left="960"/>
        <w:rPr>
          <w:rFonts w:hint="eastAsia" w:ascii="宋体" w:hAnsi="宋体"/>
          <w:color w:val="auto"/>
          <w:sz w:val="24"/>
          <w:highlight w:val="none"/>
        </w:rPr>
      </w:pPr>
      <w:r>
        <w:rPr>
          <w:rFonts w:hint="eastAsia" w:ascii="宋体" w:hAnsi="宋体"/>
          <w:color w:val="auto"/>
          <w:sz w:val="24"/>
          <w:highlight w:val="none"/>
        </w:rPr>
        <w:t>项目编号：</w:t>
      </w:r>
      <w:r>
        <w:rPr>
          <w:rFonts w:hint="eastAsia" w:ascii="宋体" w:hAnsi="宋体"/>
          <w:color w:val="auto"/>
          <w:sz w:val="24"/>
          <w:highlight w:val="none"/>
          <w:u w:val="single"/>
        </w:rPr>
        <w:t xml:space="preserve">            </w:t>
      </w:r>
    </w:p>
    <w:p w14:paraId="55D418D0">
      <w:pPr>
        <w:spacing w:before="120" w:line="480" w:lineRule="auto"/>
        <w:ind w:left="960"/>
        <w:rPr>
          <w:rFonts w:hint="eastAsia" w:ascii="宋体" w:hAnsi="宋体"/>
          <w:color w:val="auto"/>
          <w:sz w:val="24"/>
          <w:highlight w:val="none"/>
          <w:u w:val="single"/>
        </w:rPr>
      </w:pPr>
      <w:r>
        <w:rPr>
          <w:rFonts w:hint="eastAsia" w:ascii="宋体" w:hAnsi="宋体"/>
          <w:color w:val="auto"/>
          <w:sz w:val="24"/>
          <w:highlight w:val="none"/>
        </w:rPr>
        <w:t>甲方（采购人）：</w:t>
      </w:r>
      <w:r>
        <w:rPr>
          <w:rFonts w:hint="eastAsia" w:ascii="宋体" w:hAnsi="宋体"/>
          <w:color w:val="auto"/>
          <w:sz w:val="24"/>
          <w:highlight w:val="none"/>
          <w:u w:val="single"/>
        </w:rPr>
        <w:t xml:space="preserve">                              </w:t>
      </w:r>
    </w:p>
    <w:p w14:paraId="3F8DCBFB">
      <w:pPr>
        <w:spacing w:before="120" w:line="480" w:lineRule="auto"/>
        <w:ind w:left="960"/>
        <w:rPr>
          <w:rFonts w:hint="eastAsia" w:ascii="宋体" w:hAnsi="宋体"/>
          <w:color w:val="auto"/>
          <w:sz w:val="24"/>
          <w:highlight w:val="none"/>
          <w:u w:val="single"/>
        </w:rPr>
      </w:pPr>
      <w:r>
        <w:rPr>
          <w:rFonts w:hint="eastAsia" w:ascii="宋体" w:hAnsi="宋体"/>
          <w:color w:val="auto"/>
          <w:sz w:val="24"/>
          <w:highlight w:val="none"/>
        </w:rPr>
        <w:t>乙方（成交供应商）：</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p>
    <w:p w14:paraId="0023A098">
      <w:pPr>
        <w:spacing w:before="120" w:line="480" w:lineRule="auto"/>
        <w:ind w:firstLine="960" w:firstLineChars="400"/>
        <w:rPr>
          <w:rFonts w:hint="eastAsia" w:ascii="宋体" w:hAnsi="宋体"/>
          <w:color w:val="auto"/>
          <w:sz w:val="24"/>
          <w:highlight w:val="none"/>
          <w:u w:val="single"/>
        </w:rPr>
      </w:pPr>
      <w:r>
        <w:rPr>
          <w:rFonts w:hint="eastAsia" w:ascii="宋体" w:hAnsi="宋体"/>
          <w:color w:val="auto"/>
          <w:sz w:val="24"/>
          <w:highlight w:val="none"/>
        </w:rPr>
        <w:t>签订地：</w:t>
      </w:r>
      <w:r>
        <w:rPr>
          <w:rFonts w:hint="eastAsia" w:ascii="宋体" w:hAnsi="宋体"/>
          <w:color w:val="auto"/>
          <w:sz w:val="24"/>
          <w:highlight w:val="none"/>
          <w:u w:val="single"/>
        </w:rPr>
        <w:t xml:space="preserve">                                     </w:t>
      </w:r>
    </w:p>
    <w:p w14:paraId="6B204EDD">
      <w:pPr>
        <w:spacing w:before="120" w:line="480" w:lineRule="auto"/>
        <w:ind w:firstLine="960" w:firstLineChars="400"/>
        <w:rPr>
          <w:rFonts w:hint="eastAsia" w:ascii="宋体" w:hAnsi="宋体"/>
          <w:color w:val="auto"/>
          <w:sz w:val="24"/>
          <w:highlight w:val="none"/>
        </w:rPr>
      </w:pPr>
      <w:r>
        <w:rPr>
          <w:rFonts w:hint="eastAsia" w:ascii="宋体" w:hAnsi="宋体"/>
          <w:color w:val="auto"/>
          <w:sz w:val="24"/>
          <w:highlight w:val="none"/>
        </w:rPr>
        <w:t>签订日期：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06362174">
      <w:pPr>
        <w:widowControl/>
        <w:jc w:val="left"/>
        <w:rPr>
          <w:rFonts w:hint="eastAsia" w:ascii="宋体" w:hAnsi="宋体"/>
          <w:color w:val="auto"/>
          <w:sz w:val="24"/>
          <w:highlight w:val="none"/>
        </w:rPr>
      </w:pPr>
      <w:r>
        <w:rPr>
          <w:rFonts w:ascii="宋体" w:hAnsi="宋体"/>
          <w:color w:val="auto"/>
          <w:sz w:val="24"/>
          <w:highlight w:val="none"/>
        </w:rPr>
        <w:br w:type="page"/>
      </w:r>
    </w:p>
    <w:p w14:paraId="54BF0460">
      <w:pPr>
        <w:spacing w:line="360" w:lineRule="auto"/>
        <w:ind w:firstLine="435"/>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lang w:val="zh-CN"/>
        </w:rPr>
        <w:t>以下简称：甲方</w:t>
      </w:r>
      <w:r>
        <w:rPr>
          <w:rFonts w:hint="eastAsia" w:ascii="宋体" w:hAnsi="宋体"/>
          <w:color w:val="auto"/>
          <w:sz w:val="24"/>
          <w:highlight w:val="none"/>
        </w:rPr>
        <w:t>）通过</w:t>
      </w:r>
      <w:r>
        <w:rPr>
          <w:rFonts w:hint="eastAsia" w:ascii="宋体" w:hAnsi="宋体"/>
          <w:color w:val="auto"/>
          <w:sz w:val="24"/>
          <w:highlight w:val="none"/>
          <w:u w:val="single"/>
        </w:rPr>
        <w:t xml:space="preserve">               </w:t>
      </w:r>
      <w:r>
        <w:rPr>
          <w:rFonts w:hint="eastAsia" w:ascii="宋体" w:hAnsi="宋体"/>
          <w:color w:val="auto"/>
          <w:sz w:val="24"/>
          <w:highlight w:val="none"/>
        </w:rPr>
        <w:t>组织的</w:t>
      </w:r>
      <w:r>
        <w:rPr>
          <w:rFonts w:hint="eastAsia" w:ascii="宋体" w:hAnsi="宋体"/>
          <w:color w:val="auto"/>
          <w:sz w:val="24"/>
          <w:highlight w:val="none"/>
          <w:u w:val="single"/>
        </w:rPr>
        <w:t>竞争性磋商</w:t>
      </w:r>
      <w:r>
        <w:rPr>
          <w:rFonts w:hint="eastAsia" w:ascii="宋体" w:hAnsi="宋体"/>
          <w:color w:val="auto"/>
          <w:sz w:val="24"/>
          <w:highlight w:val="none"/>
        </w:rPr>
        <w:t>方式采购活动，经</w:t>
      </w:r>
      <w:r>
        <w:rPr>
          <w:rFonts w:hint="eastAsia" w:ascii="宋体" w:hAnsi="宋体"/>
          <w:color w:val="auto"/>
          <w:sz w:val="24"/>
          <w:highlight w:val="none"/>
          <w:u w:val="single"/>
        </w:rPr>
        <w:t>磋商小组</w:t>
      </w:r>
      <w:r>
        <w:rPr>
          <w:rFonts w:hint="eastAsia" w:ascii="宋体" w:hAnsi="宋体"/>
          <w:color w:val="auto"/>
          <w:sz w:val="24"/>
          <w:highlight w:val="none"/>
        </w:rPr>
        <w:t>评定，</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lang w:val="zh-CN"/>
        </w:rPr>
        <w:t>以下简称：乙方</w:t>
      </w:r>
      <w:r>
        <w:rPr>
          <w:rFonts w:hint="eastAsia" w:ascii="宋体" w:hAnsi="宋体"/>
          <w:color w:val="auto"/>
          <w:sz w:val="24"/>
          <w:highlight w:val="none"/>
        </w:rPr>
        <w:t>）为本项目成交供应商，现按照采购文件确定的事项签订本合同。</w:t>
      </w:r>
    </w:p>
    <w:p w14:paraId="2995A6CF">
      <w:pPr>
        <w:spacing w:line="360" w:lineRule="auto"/>
        <w:ind w:firstLine="435"/>
        <w:rPr>
          <w:rFonts w:hint="eastAsia" w:ascii="宋体" w:hAnsi="宋体"/>
          <w:color w:val="auto"/>
          <w:sz w:val="24"/>
          <w:highlight w:val="none"/>
          <w:lang w:val="zh-CN"/>
        </w:rPr>
      </w:pPr>
      <w:r>
        <w:rPr>
          <w:rFonts w:hint="eastAsia" w:ascii="宋体" w:hAnsi="宋体"/>
          <w:color w:val="auto"/>
          <w:sz w:val="24"/>
          <w:highlight w:val="none"/>
        </w:rPr>
        <w:t>根据《中华人民共和国民法典》、《中华人民共和国政府采购法》等相关法律法规之规定，按照平等、自愿、公平和诚实信用的原则，经甲方和乙方协商一致，约定以下合同条款，以兹共同遵守、全面履行。</w:t>
      </w:r>
    </w:p>
    <w:p w14:paraId="30527661">
      <w:pPr>
        <w:spacing w:line="360" w:lineRule="auto"/>
        <w:ind w:firstLine="437"/>
        <w:rPr>
          <w:rFonts w:hint="eastAsia" w:ascii="宋体" w:hAnsi="宋体"/>
          <w:b/>
          <w:bCs/>
          <w:color w:val="auto"/>
          <w:sz w:val="24"/>
          <w:highlight w:val="none"/>
          <w:lang w:val="zh-CN"/>
        </w:rPr>
      </w:pPr>
      <w:bookmarkStart w:id="45" w:name="_Toc2232"/>
      <w:bookmarkStart w:id="46" w:name="_Toc3029"/>
      <w:bookmarkStart w:id="47" w:name="_Toc24059"/>
      <w:r>
        <w:rPr>
          <w:rFonts w:hint="eastAsia" w:ascii="宋体" w:hAnsi="宋体"/>
          <w:b/>
          <w:bCs/>
          <w:color w:val="auto"/>
          <w:sz w:val="24"/>
          <w:highlight w:val="none"/>
          <w:lang w:val="zh-CN"/>
        </w:rPr>
        <w:t>1.1</w:t>
      </w:r>
      <w:r>
        <w:rPr>
          <w:rFonts w:ascii="宋体" w:hAnsi="宋体"/>
          <w:b/>
          <w:bCs/>
          <w:color w:val="auto"/>
          <w:sz w:val="24"/>
          <w:highlight w:val="none"/>
          <w:lang w:val="zh-CN"/>
        </w:rPr>
        <w:t xml:space="preserve"> </w:t>
      </w:r>
      <w:r>
        <w:rPr>
          <w:rFonts w:hint="eastAsia" w:ascii="宋体" w:hAnsi="宋体"/>
          <w:b/>
          <w:bCs/>
          <w:color w:val="auto"/>
          <w:sz w:val="24"/>
          <w:highlight w:val="none"/>
          <w:lang w:val="zh-CN"/>
        </w:rPr>
        <w:t>合同组成部分</w:t>
      </w:r>
      <w:bookmarkEnd w:id="45"/>
      <w:bookmarkEnd w:id="46"/>
      <w:bookmarkEnd w:id="47"/>
    </w:p>
    <w:p w14:paraId="62A66BE6">
      <w:pPr>
        <w:spacing w:line="360" w:lineRule="auto"/>
        <w:ind w:firstLine="435"/>
        <w:rPr>
          <w:rFonts w:hint="eastAsia" w:ascii="宋体" w:hAnsi="宋体"/>
          <w:color w:val="auto"/>
          <w:sz w:val="24"/>
          <w:highlight w:val="none"/>
          <w:lang w:val="zh-CN"/>
        </w:rPr>
      </w:pPr>
      <w:r>
        <w:rPr>
          <w:rFonts w:hint="eastAsia" w:ascii="宋体" w:hAnsi="宋体"/>
          <w:color w:val="auto"/>
          <w:sz w:val="24"/>
          <w:highlight w:val="none"/>
          <w:lang w:val="zh-CN"/>
        </w:rPr>
        <w:t>下列文件为本合同的组成部分，并构成一个整体，需综合解释、相互补充。如果下列文件内容出现不一致的情形，那么在保证按照采购文件确定的事项前提下，组成本合同的多个文件的优先适用顺序如下：</w:t>
      </w:r>
    </w:p>
    <w:p w14:paraId="03949765">
      <w:pPr>
        <w:spacing w:line="360" w:lineRule="auto"/>
        <w:ind w:firstLine="435"/>
        <w:rPr>
          <w:rFonts w:hint="eastAsia" w:ascii="宋体" w:hAnsi="宋体"/>
          <w:color w:val="auto"/>
          <w:sz w:val="24"/>
          <w:highlight w:val="none"/>
          <w:lang w:val="zh-CN"/>
        </w:rPr>
      </w:pPr>
      <w:r>
        <w:rPr>
          <w:rFonts w:hint="eastAsia" w:ascii="宋体" w:hAnsi="宋体"/>
          <w:color w:val="auto"/>
          <w:sz w:val="24"/>
          <w:highlight w:val="none"/>
          <w:lang w:val="zh-CN"/>
        </w:rPr>
        <w:t>1.1.1本合同及其补充合同、变更协议；</w:t>
      </w:r>
    </w:p>
    <w:p w14:paraId="5B273165">
      <w:pPr>
        <w:spacing w:line="360" w:lineRule="auto"/>
        <w:ind w:firstLine="435"/>
        <w:rPr>
          <w:rFonts w:hint="eastAsia" w:ascii="宋体" w:hAnsi="宋体"/>
          <w:color w:val="auto"/>
          <w:sz w:val="24"/>
          <w:highlight w:val="none"/>
          <w:lang w:val="zh-CN"/>
        </w:rPr>
      </w:pPr>
      <w:r>
        <w:rPr>
          <w:rFonts w:hint="eastAsia" w:ascii="宋体" w:hAnsi="宋体"/>
          <w:color w:val="auto"/>
          <w:sz w:val="24"/>
          <w:highlight w:val="none"/>
          <w:lang w:val="zh-CN"/>
        </w:rPr>
        <w:t>1.1.2成交通知书；</w:t>
      </w:r>
    </w:p>
    <w:p w14:paraId="16E35C5A">
      <w:pPr>
        <w:spacing w:line="360" w:lineRule="auto"/>
        <w:ind w:firstLine="435"/>
        <w:rPr>
          <w:rFonts w:hint="eastAsia" w:ascii="宋体" w:hAnsi="宋体"/>
          <w:color w:val="auto"/>
          <w:sz w:val="24"/>
          <w:highlight w:val="none"/>
          <w:lang w:val="zh-CN"/>
        </w:rPr>
      </w:pPr>
      <w:r>
        <w:rPr>
          <w:rFonts w:hint="eastAsia" w:ascii="宋体" w:hAnsi="宋体"/>
          <w:color w:val="auto"/>
          <w:sz w:val="24"/>
          <w:highlight w:val="none"/>
          <w:lang w:val="zh-CN"/>
        </w:rPr>
        <w:t>1.1.3响应文件（含澄清或者说明文件）；</w:t>
      </w:r>
    </w:p>
    <w:p w14:paraId="15F4ADDD">
      <w:pPr>
        <w:spacing w:line="360" w:lineRule="auto"/>
        <w:ind w:firstLine="435"/>
        <w:rPr>
          <w:rFonts w:hint="eastAsia" w:ascii="宋体" w:hAnsi="宋体"/>
          <w:color w:val="auto"/>
          <w:sz w:val="24"/>
          <w:highlight w:val="none"/>
          <w:lang w:val="zh-CN"/>
        </w:rPr>
      </w:pPr>
      <w:r>
        <w:rPr>
          <w:rFonts w:hint="eastAsia" w:ascii="宋体" w:hAnsi="宋体"/>
          <w:color w:val="auto"/>
          <w:sz w:val="24"/>
          <w:highlight w:val="none"/>
          <w:lang w:val="zh-CN"/>
        </w:rPr>
        <w:t>1.1.4磋商文件（含澄清或者修改文件）；</w:t>
      </w:r>
    </w:p>
    <w:p w14:paraId="2070D8F7">
      <w:pPr>
        <w:spacing w:line="360" w:lineRule="auto"/>
        <w:ind w:firstLine="435"/>
        <w:rPr>
          <w:rFonts w:hint="eastAsia" w:ascii="宋体" w:hAnsi="宋体"/>
          <w:color w:val="auto"/>
          <w:sz w:val="24"/>
          <w:highlight w:val="none"/>
          <w:lang w:val="zh-CN"/>
        </w:rPr>
      </w:pPr>
      <w:r>
        <w:rPr>
          <w:rFonts w:hint="eastAsia" w:ascii="宋体" w:hAnsi="宋体"/>
          <w:color w:val="auto"/>
          <w:sz w:val="24"/>
          <w:highlight w:val="none"/>
          <w:lang w:val="zh-CN"/>
        </w:rPr>
        <w:t>1.1.5其他相关采购文件。</w:t>
      </w:r>
    </w:p>
    <w:p w14:paraId="65423FF8">
      <w:pPr>
        <w:spacing w:line="360" w:lineRule="auto"/>
        <w:ind w:firstLine="437"/>
        <w:rPr>
          <w:rFonts w:hint="eastAsia" w:ascii="宋体" w:hAnsi="宋体"/>
          <w:b/>
          <w:bCs/>
          <w:color w:val="auto"/>
          <w:sz w:val="24"/>
          <w:highlight w:val="none"/>
          <w:lang w:val="zh-CN"/>
        </w:rPr>
      </w:pPr>
      <w:bookmarkStart w:id="48" w:name="_Toc6311"/>
      <w:bookmarkStart w:id="49" w:name="_Toc2918"/>
      <w:bookmarkStart w:id="50" w:name="_Toc22185"/>
      <w:bookmarkStart w:id="51" w:name="_Toc18585"/>
      <w:bookmarkStart w:id="52" w:name="_Toc6773"/>
      <w:r>
        <w:rPr>
          <w:rFonts w:hint="eastAsia" w:ascii="宋体" w:hAnsi="宋体"/>
          <w:b/>
          <w:bCs/>
          <w:color w:val="auto"/>
          <w:sz w:val="24"/>
          <w:highlight w:val="none"/>
          <w:lang w:val="zh-CN"/>
        </w:rPr>
        <w:t xml:space="preserve">1.2 </w:t>
      </w:r>
      <w:bookmarkEnd w:id="48"/>
      <w:bookmarkEnd w:id="49"/>
      <w:bookmarkEnd w:id="50"/>
      <w:bookmarkEnd w:id="51"/>
      <w:bookmarkEnd w:id="52"/>
      <w:r>
        <w:rPr>
          <w:rFonts w:hint="eastAsia" w:ascii="宋体" w:hAnsi="宋体"/>
          <w:b/>
          <w:bCs/>
          <w:color w:val="auto"/>
          <w:sz w:val="24"/>
          <w:highlight w:val="none"/>
          <w:lang w:val="zh-CN"/>
        </w:rPr>
        <w:t>服务</w:t>
      </w:r>
    </w:p>
    <w:p w14:paraId="617C2ACB">
      <w:pPr>
        <w:spacing w:line="360" w:lineRule="auto"/>
        <w:ind w:firstLine="435"/>
        <w:rPr>
          <w:rFonts w:hint="eastAsia" w:ascii="宋体" w:hAnsi="宋体"/>
          <w:color w:val="auto"/>
          <w:sz w:val="24"/>
          <w:highlight w:val="none"/>
          <w:u w:val="single"/>
        </w:rPr>
      </w:pPr>
      <w:r>
        <w:rPr>
          <w:rFonts w:hint="eastAsia" w:ascii="宋体" w:hAnsi="宋体"/>
          <w:color w:val="auto"/>
          <w:sz w:val="24"/>
          <w:highlight w:val="none"/>
        </w:rPr>
        <w:t>1.2.1服务</w:t>
      </w:r>
      <w:r>
        <w:rPr>
          <w:rFonts w:ascii="宋体" w:hAnsi="宋体"/>
          <w:color w:val="auto"/>
          <w:sz w:val="24"/>
          <w:highlight w:val="none"/>
        </w:rPr>
        <w:t>名称：</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92D7DB2">
      <w:pPr>
        <w:spacing w:line="360" w:lineRule="auto"/>
        <w:ind w:firstLine="435"/>
        <w:rPr>
          <w:rFonts w:hint="eastAsia" w:ascii="宋体" w:hAnsi="宋体"/>
          <w:color w:val="auto"/>
          <w:sz w:val="24"/>
          <w:highlight w:val="none"/>
          <w:u w:val="single"/>
        </w:rPr>
      </w:pPr>
      <w:r>
        <w:rPr>
          <w:rFonts w:hint="eastAsia" w:ascii="宋体" w:hAnsi="宋体"/>
          <w:color w:val="auto"/>
          <w:sz w:val="24"/>
          <w:highlight w:val="none"/>
        </w:rPr>
        <w:t>1.2.2服务内容</w:t>
      </w:r>
      <w:r>
        <w:rPr>
          <w:rFonts w:ascii="宋体" w:hAnsi="宋体"/>
          <w:color w:val="auto"/>
          <w:sz w:val="24"/>
          <w:highlight w:val="none"/>
        </w:rPr>
        <w:t>：</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B170DFD">
      <w:pPr>
        <w:spacing w:line="360" w:lineRule="auto"/>
        <w:ind w:firstLine="435"/>
        <w:rPr>
          <w:rFonts w:hint="eastAsia" w:ascii="宋体" w:hAnsi="宋体"/>
          <w:color w:val="auto"/>
          <w:sz w:val="24"/>
          <w:highlight w:val="none"/>
        </w:rPr>
      </w:pPr>
      <w:r>
        <w:rPr>
          <w:rFonts w:hint="eastAsia" w:ascii="宋体" w:hAnsi="宋体"/>
          <w:color w:val="auto"/>
          <w:sz w:val="24"/>
          <w:highlight w:val="none"/>
        </w:rPr>
        <w:t>1.2.3服务质量：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6E51D9C">
      <w:pPr>
        <w:spacing w:line="360" w:lineRule="auto"/>
        <w:ind w:firstLine="437"/>
        <w:rPr>
          <w:rFonts w:hint="eastAsia" w:ascii="宋体" w:hAnsi="宋体"/>
          <w:b/>
          <w:bCs/>
          <w:color w:val="auto"/>
          <w:sz w:val="24"/>
          <w:highlight w:val="none"/>
          <w:lang w:val="zh-CN"/>
        </w:rPr>
      </w:pPr>
      <w:bookmarkStart w:id="53" w:name="_Toc21551"/>
      <w:bookmarkStart w:id="54" w:name="_Toc21631"/>
      <w:bookmarkStart w:id="55" w:name="_Toc23292"/>
      <w:r>
        <w:rPr>
          <w:rFonts w:hint="eastAsia" w:ascii="宋体" w:hAnsi="宋体"/>
          <w:b/>
          <w:bCs/>
          <w:color w:val="auto"/>
          <w:sz w:val="24"/>
          <w:highlight w:val="none"/>
          <w:lang w:val="zh-CN"/>
        </w:rPr>
        <w:t>1.</w:t>
      </w:r>
      <w:r>
        <w:rPr>
          <w:rFonts w:ascii="宋体" w:hAnsi="宋体"/>
          <w:b/>
          <w:bCs/>
          <w:color w:val="auto"/>
          <w:sz w:val="24"/>
          <w:highlight w:val="none"/>
          <w:lang w:val="zh-CN"/>
        </w:rPr>
        <w:t xml:space="preserve">3 </w:t>
      </w:r>
      <w:r>
        <w:rPr>
          <w:rFonts w:hint="eastAsia" w:ascii="宋体" w:hAnsi="宋体"/>
          <w:b/>
          <w:bCs/>
          <w:color w:val="auto"/>
          <w:sz w:val="24"/>
          <w:highlight w:val="none"/>
          <w:lang w:val="zh-CN"/>
        </w:rPr>
        <w:t>价款</w:t>
      </w:r>
      <w:bookmarkEnd w:id="53"/>
      <w:bookmarkEnd w:id="54"/>
      <w:bookmarkEnd w:id="55"/>
    </w:p>
    <w:p w14:paraId="543BF9F8">
      <w:pPr>
        <w:spacing w:line="360" w:lineRule="auto"/>
        <w:ind w:firstLine="435"/>
        <w:rPr>
          <w:rFonts w:hint="eastAsia" w:ascii="宋体" w:hAnsi="宋体"/>
          <w:color w:val="auto"/>
          <w:sz w:val="24"/>
          <w:highlight w:val="none"/>
        </w:rPr>
      </w:pPr>
      <w:r>
        <w:rPr>
          <w:rFonts w:ascii="宋体" w:hAnsi="宋体"/>
          <w:color w:val="auto"/>
          <w:sz w:val="24"/>
          <w:highlight w:val="none"/>
        </w:rPr>
        <w:t>本合同总价为</w:t>
      </w:r>
      <w:r>
        <w:rPr>
          <w:rFonts w:hint="eastAsia" w:ascii="宋体" w:hAnsi="宋体"/>
          <w:color w:val="auto"/>
          <w:sz w:val="24"/>
          <w:highlight w:val="none"/>
        </w:rPr>
        <w:t>：￥</w:t>
      </w:r>
      <w:r>
        <w:rPr>
          <w:rFonts w:hint="eastAsia" w:ascii="宋体" w:hAnsi="宋体"/>
          <w:color w:val="auto"/>
          <w:sz w:val="24"/>
          <w:highlight w:val="none"/>
          <w:u w:val="single"/>
        </w:rPr>
        <w:t xml:space="preserve">           </w:t>
      </w:r>
      <w:r>
        <w:rPr>
          <w:rFonts w:ascii="宋体" w:hAnsi="宋体"/>
          <w:color w:val="auto"/>
          <w:sz w:val="24"/>
          <w:highlight w:val="none"/>
        </w:rPr>
        <w:t>元</w:t>
      </w:r>
      <w:r>
        <w:rPr>
          <w:rFonts w:hint="eastAsia" w:ascii="宋体" w:hAnsi="宋体"/>
          <w:color w:val="auto"/>
          <w:sz w:val="24"/>
          <w:highlight w:val="none"/>
        </w:rPr>
        <w:t>（大写：人民币</w:t>
      </w:r>
      <w:r>
        <w:rPr>
          <w:rFonts w:hint="eastAsia" w:ascii="宋体" w:hAnsi="宋体"/>
          <w:color w:val="auto"/>
          <w:sz w:val="24"/>
          <w:highlight w:val="none"/>
          <w:u w:val="single"/>
        </w:rPr>
        <w:t xml:space="preserve">                 </w:t>
      </w:r>
      <w:r>
        <w:rPr>
          <w:rFonts w:hint="eastAsia" w:ascii="宋体" w:hAnsi="宋体"/>
          <w:color w:val="auto"/>
          <w:sz w:val="24"/>
          <w:highlight w:val="none"/>
        </w:rPr>
        <w:t>元）</w:t>
      </w:r>
      <w:r>
        <w:rPr>
          <w:rFonts w:ascii="宋体" w:hAnsi="宋体"/>
          <w:color w:val="auto"/>
          <w:sz w:val="24"/>
          <w:highlight w:val="none"/>
        </w:rPr>
        <w:t>。</w:t>
      </w:r>
    </w:p>
    <w:p w14:paraId="77C91D2F">
      <w:pPr>
        <w:spacing w:line="360" w:lineRule="auto"/>
        <w:ind w:firstLine="435"/>
        <w:rPr>
          <w:rFonts w:hint="eastAsia" w:ascii="宋体" w:hAnsi="宋体"/>
          <w:color w:val="auto"/>
          <w:sz w:val="24"/>
          <w:highlight w:val="none"/>
          <w:u w:val="single"/>
        </w:rPr>
      </w:pPr>
      <w:r>
        <w:rPr>
          <w:rFonts w:ascii="宋体" w:hAnsi="宋体"/>
          <w:color w:val="auto"/>
          <w:sz w:val="24"/>
          <w:highlight w:val="none"/>
        </w:rPr>
        <w:t>分项价格：</w:t>
      </w:r>
    </w:p>
    <w:tbl>
      <w:tblPr>
        <w:tblStyle w:val="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4315"/>
        <w:gridCol w:w="12"/>
        <w:gridCol w:w="3231"/>
        <w:gridCol w:w="12"/>
      </w:tblGrid>
      <w:tr w14:paraId="23C24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pct"/>
          <w:trHeight w:val="369" w:hRule="atLeast"/>
          <w:jc w:val="center"/>
        </w:trPr>
        <w:tc>
          <w:tcPr>
            <w:tcW w:w="958" w:type="dxa"/>
            <w:vAlign w:val="center"/>
          </w:tcPr>
          <w:p w14:paraId="7EA47D98">
            <w:pPr>
              <w:jc w:val="center"/>
              <w:rPr>
                <w:rFonts w:hint="eastAsia" w:ascii="宋体" w:hAnsi="宋体"/>
                <w:color w:val="auto"/>
                <w:sz w:val="24"/>
                <w:highlight w:val="none"/>
                <w:lang w:val="zh-CN"/>
              </w:rPr>
            </w:pPr>
            <w:r>
              <w:rPr>
                <w:rFonts w:ascii="宋体" w:hAnsi="宋体"/>
                <w:color w:val="auto"/>
                <w:sz w:val="24"/>
                <w:highlight w:val="none"/>
                <w:lang w:val="zh-CN"/>
              </w:rPr>
              <w:t>序号</w:t>
            </w:r>
          </w:p>
        </w:tc>
        <w:tc>
          <w:tcPr>
            <w:tcW w:w="4319" w:type="dxa"/>
            <w:vAlign w:val="center"/>
          </w:tcPr>
          <w:p w14:paraId="6493518D">
            <w:pPr>
              <w:pStyle w:val="191"/>
              <w:ind w:firstLine="200"/>
              <w:jc w:val="center"/>
              <w:rPr>
                <w:rFonts w:hint="eastAsia" w:ascii="宋体" w:hAnsi="宋体" w:eastAsia="宋体"/>
                <w:color w:val="auto"/>
                <w:sz w:val="24"/>
                <w:highlight w:val="none"/>
              </w:rPr>
            </w:pPr>
            <w:r>
              <w:rPr>
                <w:rFonts w:hint="eastAsia" w:ascii="宋体" w:hAnsi="宋体" w:eastAsia="宋体"/>
                <w:color w:val="auto"/>
                <w:sz w:val="24"/>
                <w:highlight w:val="none"/>
              </w:rPr>
              <w:t>分项名称</w:t>
            </w:r>
          </w:p>
        </w:tc>
        <w:tc>
          <w:tcPr>
            <w:tcW w:w="3239" w:type="dxa"/>
            <w:gridSpan w:val="2"/>
            <w:vAlign w:val="center"/>
          </w:tcPr>
          <w:p w14:paraId="46952196">
            <w:pPr>
              <w:pStyle w:val="191"/>
              <w:jc w:val="center"/>
              <w:rPr>
                <w:rFonts w:hint="eastAsia" w:ascii="宋体" w:hAnsi="宋体" w:eastAsia="宋体"/>
                <w:color w:val="auto"/>
                <w:sz w:val="24"/>
                <w:highlight w:val="none"/>
              </w:rPr>
            </w:pPr>
            <w:r>
              <w:rPr>
                <w:rFonts w:ascii="宋体" w:hAnsi="宋体" w:eastAsia="宋体"/>
                <w:color w:val="auto"/>
                <w:sz w:val="24"/>
                <w:highlight w:val="none"/>
              </w:rPr>
              <w:t>分项价格</w:t>
            </w:r>
          </w:p>
        </w:tc>
      </w:tr>
      <w:tr w14:paraId="5A20C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pct"/>
          <w:trHeight w:val="369" w:hRule="atLeast"/>
          <w:jc w:val="center"/>
        </w:trPr>
        <w:tc>
          <w:tcPr>
            <w:tcW w:w="958" w:type="dxa"/>
          </w:tcPr>
          <w:p w14:paraId="5B9AF11B">
            <w:pPr>
              <w:jc w:val="center"/>
              <w:rPr>
                <w:rFonts w:hint="eastAsia" w:ascii="宋体" w:hAnsi="宋体"/>
                <w:color w:val="auto"/>
                <w:sz w:val="24"/>
                <w:highlight w:val="none"/>
                <w:lang w:val="zh-CN"/>
              </w:rPr>
            </w:pPr>
            <w:r>
              <w:rPr>
                <w:rFonts w:hint="eastAsia" w:ascii="宋体" w:hAnsi="宋体"/>
                <w:color w:val="auto"/>
                <w:sz w:val="24"/>
                <w:highlight w:val="none"/>
                <w:lang w:val="zh-CN"/>
              </w:rPr>
              <w:t>1</w:t>
            </w:r>
          </w:p>
        </w:tc>
        <w:tc>
          <w:tcPr>
            <w:tcW w:w="4319" w:type="dxa"/>
            <w:vAlign w:val="center"/>
          </w:tcPr>
          <w:p w14:paraId="5396BBDC">
            <w:pPr>
              <w:pStyle w:val="191"/>
              <w:ind w:firstLine="200"/>
              <w:jc w:val="center"/>
              <w:rPr>
                <w:rFonts w:hint="eastAsia" w:ascii="宋体" w:hAnsi="宋体" w:eastAsia="宋体"/>
                <w:color w:val="auto"/>
                <w:sz w:val="24"/>
                <w:highlight w:val="none"/>
              </w:rPr>
            </w:pPr>
          </w:p>
        </w:tc>
        <w:tc>
          <w:tcPr>
            <w:tcW w:w="3239" w:type="dxa"/>
            <w:gridSpan w:val="2"/>
            <w:vAlign w:val="center"/>
          </w:tcPr>
          <w:p w14:paraId="77DEE01E">
            <w:pPr>
              <w:pStyle w:val="191"/>
              <w:ind w:firstLine="200"/>
              <w:jc w:val="center"/>
              <w:rPr>
                <w:rFonts w:hint="eastAsia" w:ascii="宋体" w:hAnsi="宋体" w:eastAsia="宋体"/>
                <w:color w:val="auto"/>
                <w:sz w:val="24"/>
                <w:highlight w:val="none"/>
              </w:rPr>
            </w:pPr>
          </w:p>
        </w:tc>
      </w:tr>
      <w:tr w14:paraId="2BEB3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pct"/>
          <w:trHeight w:val="369" w:hRule="atLeast"/>
          <w:jc w:val="center"/>
        </w:trPr>
        <w:tc>
          <w:tcPr>
            <w:tcW w:w="958" w:type="dxa"/>
          </w:tcPr>
          <w:p w14:paraId="13A3C26D">
            <w:pPr>
              <w:jc w:val="center"/>
              <w:rPr>
                <w:rFonts w:hint="eastAsia" w:ascii="宋体" w:hAnsi="宋体"/>
                <w:color w:val="auto"/>
                <w:sz w:val="24"/>
                <w:highlight w:val="none"/>
                <w:lang w:val="zh-CN"/>
              </w:rPr>
            </w:pPr>
            <w:r>
              <w:rPr>
                <w:rFonts w:hint="eastAsia" w:ascii="宋体" w:hAnsi="宋体"/>
                <w:color w:val="auto"/>
                <w:sz w:val="24"/>
                <w:highlight w:val="none"/>
                <w:lang w:val="zh-CN"/>
              </w:rPr>
              <w:t>2</w:t>
            </w:r>
          </w:p>
        </w:tc>
        <w:tc>
          <w:tcPr>
            <w:tcW w:w="4319" w:type="dxa"/>
            <w:vAlign w:val="center"/>
          </w:tcPr>
          <w:p w14:paraId="41B0EEB4">
            <w:pPr>
              <w:pStyle w:val="191"/>
              <w:ind w:firstLine="200"/>
              <w:jc w:val="center"/>
              <w:rPr>
                <w:rFonts w:hint="eastAsia" w:ascii="宋体" w:hAnsi="宋体" w:eastAsia="宋体"/>
                <w:color w:val="auto"/>
                <w:sz w:val="24"/>
                <w:highlight w:val="none"/>
              </w:rPr>
            </w:pPr>
          </w:p>
        </w:tc>
        <w:tc>
          <w:tcPr>
            <w:tcW w:w="3239" w:type="dxa"/>
            <w:gridSpan w:val="2"/>
            <w:vAlign w:val="center"/>
          </w:tcPr>
          <w:p w14:paraId="79E687C5">
            <w:pPr>
              <w:pStyle w:val="191"/>
              <w:ind w:firstLine="200"/>
              <w:jc w:val="center"/>
              <w:rPr>
                <w:rFonts w:hint="eastAsia" w:ascii="宋体" w:hAnsi="宋体" w:eastAsia="宋体"/>
                <w:color w:val="auto"/>
                <w:sz w:val="24"/>
                <w:highlight w:val="none"/>
              </w:rPr>
            </w:pPr>
          </w:p>
        </w:tc>
      </w:tr>
      <w:tr w14:paraId="5ECA6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pct"/>
          <w:trHeight w:val="369" w:hRule="atLeast"/>
          <w:jc w:val="center"/>
        </w:trPr>
        <w:tc>
          <w:tcPr>
            <w:tcW w:w="958" w:type="dxa"/>
          </w:tcPr>
          <w:p w14:paraId="19560173">
            <w:pPr>
              <w:jc w:val="center"/>
              <w:rPr>
                <w:rFonts w:hint="eastAsia" w:ascii="宋体" w:hAnsi="宋体"/>
                <w:color w:val="auto"/>
                <w:sz w:val="24"/>
                <w:highlight w:val="none"/>
                <w:lang w:val="zh-CN"/>
              </w:rPr>
            </w:pPr>
            <w:r>
              <w:rPr>
                <w:rFonts w:ascii="宋体" w:hAnsi="宋体"/>
                <w:color w:val="auto"/>
                <w:sz w:val="24"/>
                <w:highlight w:val="none"/>
                <w:lang w:val="zh-CN"/>
              </w:rPr>
              <w:t>3</w:t>
            </w:r>
          </w:p>
        </w:tc>
        <w:tc>
          <w:tcPr>
            <w:tcW w:w="4319" w:type="dxa"/>
            <w:vAlign w:val="center"/>
          </w:tcPr>
          <w:p w14:paraId="71984F7E">
            <w:pPr>
              <w:pStyle w:val="191"/>
              <w:ind w:firstLine="200"/>
              <w:jc w:val="center"/>
              <w:rPr>
                <w:rFonts w:hint="eastAsia" w:ascii="宋体" w:hAnsi="宋体" w:eastAsia="宋体"/>
                <w:color w:val="auto"/>
                <w:sz w:val="24"/>
                <w:highlight w:val="none"/>
              </w:rPr>
            </w:pPr>
          </w:p>
        </w:tc>
        <w:tc>
          <w:tcPr>
            <w:tcW w:w="3239" w:type="dxa"/>
            <w:gridSpan w:val="2"/>
            <w:vAlign w:val="center"/>
          </w:tcPr>
          <w:p w14:paraId="2E5D897B">
            <w:pPr>
              <w:pStyle w:val="191"/>
              <w:ind w:firstLine="200"/>
              <w:jc w:val="center"/>
              <w:rPr>
                <w:rFonts w:hint="eastAsia" w:ascii="宋体" w:hAnsi="宋体" w:eastAsia="宋体"/>
                <w:color w:val="auto"/>
                <w:sz w:val="24"/>
                <w:highlight w:val="none"/>
              </w:rPr>
            </w:pPr>
          </w:p>
        </w:tc>
      </w:tr>
      <w:tr w14:paraId="45C84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pct"/>
          <w:trHeight w:val="369" w:hRule="atLeast"/>
          <w:jc w:val="center"/>
        </w:trPr>
        <w:tc>
          <w:tcPr>
            <w:tcW w:w="958" w:type="dxa"/>
          </w:tcPr>
          <w:p w14:paraId="398466FF">
            <w:pPr>
              <w:jc w:val="center"/>
              <w:rPr>
                <w:rFonts w:hint="eastAsia" w:ascii="宋体" w:hAnsi="宋体"/>
                <w:color w:val="auto"/>
                <w:sz w:val="24"/>
                <w:highlight w:val="none"/>
                <w:lang w:val="zh-CN"/>
              </w:rPr>
            </w:pPr>
            <w:r>
              <w:rPr>
                <w:rFonts w:hint="eastAsia" w:ascii="宋体" w:hAnsi="宋体"/>
                <w:color w:val="auto"/>
                <w:sz w:val="24"/>
                <w:highlight w:val="none"/>
                <w:lang w:val="zh-CN"/>
              </w:rPr>
              <w:t>……</w:t>
            </w:r>
          </w:p>
        </w:tc>
        <w:tc>
          <w:tcPr>
            <w:tcW w:w="4319" w:type="dxa"/>
            <w:vAlign w:val="center"/>
          </w:tcPr>
          <w:p w14:paraId="04AAAF19">
            <w:pPr>
              <w:pStyle w:val="191"/>
              <w:ind w:firstLine="200"/>
              <w:jc w:val="center"/>
              <w:rPr>
                <w:rFonts w:hint="eastAsia" w:ascii="宋体" w:hAnsi="宋体" w:eastAsia="宋体"/>
                <w:color w:val="auto"/>
                <w:sz w:val="24"/>
                <w:highlight w:val="none"/>
              </w:rPr>
            </w:pPr>
          </w:p>
        </w:tc>
        <w:tc>
          <w:tcPr>
            <w:tcW w:w="3239" w:type="dxa"/>
            <w:gridSpan w:val="2"/>
            <w:vAlign w:val="center"/>
          </w:tcPr>
          <w:p w14:paraId="2AF0DDDE">
            <w:pPr>
              <w:pStyle w:val="191"/>
              <w:ind w:firstLine="200"/>
              <w:jc w:val="center"/>
              <w:rPr>
                <w:rFonts w:hint="eastAsia" w:ascii="宋体" w:hAnsi="宋体" w:eastAsia="宋体"/>
                <w:color w:val="auto"/>
                <w:sz w:val="24"/>
                <w:highlight w:val="none"/>
              </w:rPr>
            </w:pPr>
          </w:p>
        </w:tc>
      </w:tr>
      <w:tr w14:paraId="66846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289" w:type="dxa"/>
            <w:gridSpan w:val="3"/>
            <w:vAlign w:val="center"/>
          </w:tcPr>
          <w:p w14:paraId="158E8E4A">
            <w:pPr>
              <w:pStyle w:val="191"/>
              <w:ind w:firstLine="200"/>
              <w:jc w:val="center"/>
              <w:rPr>
                <w:rFonts w:hint="eastAsia" w:ascii="宋体" w:hAnsi="宋体" w:eastAsia="宋体"/>
                <w:color w:val="auto"/>
                <w:sz w:val="24"/>
                <w:highlight w:val="none"/>
              </w:rPr>
            </w:pPr>
            <w:r>
              <w:rPr>
                <w:rFonts w:hint="eastAsia" w:ascii="宋体" w:hAnsi="宋体" w:eastAsia="宋体"/>
                <w:color w:val="auto"/>
                <w:sz w:val="24"/>
                <w:highlight w:val="none"/>
              </w:rPr>
              <w:t>总价</w:t>
            </w:r>
          </w:p>
        </w:tc>
        <w:tc>
          <w:tcPr>
            <w:tcW w:w="3239" w:type="dxa"/>
            <w:gridSpan w:val="2"/>
            <w:vAlign w:val="center"/>
          </w:tcPr>
          <w:p w14:paraId="25185824">
            <w:pPr>
              <w:pStyle w:val="191"/>
              <w:ind w:firstLine="200"/>
              <w:jc w:val="center"/>
              <w:rPr>
                <w:rFonts w:hint="eastAsia" w:ascii="宋体" w:hAnsi="宋体" w:eastAsia="宋体"/>
                <w:color w:val="auto"/>
                <w:sz w:val="24"/>
                <w:highlight w:val="none"/>
              </w:rPr>
            </w:pPr>
          </w:p>
        </w:tc>
      </w:tr>
    </w:tbl>
    <w:p w14:paraId="30625703">
      <w:pPr>
        <w:spacing w:line="360" w:lineRule="auto"/>
        <w:ind w:firstLine="437"/>
        <w:rPr>
          <w:rFonts w:hint="eastAsia" w:ascii="宋体" w:hAnsi="宋体"/>
          <w:b/>
          <w:bCs/>
          <w:color w:val="auto"/>
          <w:sz w:val="24"/>
          <w:highlight w:val="none"/>
          <w:lang w:val="zh-CN"/>
        </w:rPr>
      </w:pPr>
      <w:bookmarkStart w:id="56" w:name="_Toc22618"/>
      <w:bookmarkStart w:id="57" w:name="_Toc1814"/>
      <w:bookmarkStart w:id="58" w:name="_Toc10340"/>
      <w:r>
        <w:rPr>
          <w:rFonts w:hint="eastAsia" w:ascii="宋体" w:hAnsi="宋体"/>
          <w:b/>
          <w:bCs/>
          <w:color w:val="auto"/>
          <w:sz w:val="24"/>
          <w:highlight w:val="none"/>
          <w:lang w:val="zh-CN"/>
        </w:rPr>
        <w:t>1.</w:t>
      </w:r>
      <w:r>
        <w:rPr>
          <w:rFonts w:ascii="宋体" w:hAnsi="宋体"/>
          <w:b/>
          <w:bCs/>
          <w:color w:val="auto"/>
          <w:sz w:val="24"/>
          <w:highlight w:val="none"/>
          <w:lang w:val="zh-CN"/>
        </w:rPr>
        <w:t>4 付款方式和发票开具方式</w:t>
      </w:r>
      <w:bookmarkEnd w:id="56"/>
      <w:bookmarkEnd w:id="57"/>
      <w:bookmarkEnd w:id="58"/>
    </w:p>
    <w:p w14:paraId="1BC5F725">
      <w:pPr>
        <w:spacing w:line="360" w:lineRule="auto"/>
        <w:ind w:firstLine="435"/>
        <w:rPr>
          <w:rFonts w:hint="eastAsia" w:ascii="宋体" w:hAnsi="宋体"/>
          <w:color w:val="auto"/>
          <w:sz w:val="24"/>
          <w:highlight w:val="none"/>
        </w:rPr>
      </w:pPr>
      <w:r>
        <w:rPr>
          <w:rFonts w:hint="eastAsia" w:ascii="宋体" w:hAnsi="宋体"/>
          <w:color w:val="auto"/>
          <w:sz w:val="24"/>
          <w:highlight w:val="none"/>
        </w:rPr>
        <w:t>1.4.1</w:t>
      </w:r>
      <w:r>
        <w:rPr>
          <w:rFonts w:ascii="宋体" w:hAnsi="宋体"/>
          <w:color w:val="auto"/>
          <w:sz w:val="24"/>
          <w:highlight w:val="none"/>
        </w:rPr>
        <w:t>付款方式：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33CDBE5">
      <w:pPr>
        <w:spacing w:line="360" w:lineRule="auto"/>
        <w:ind w:firstLine="435"/>
        <w:rPr>
          <w:rFonts w:hint="eastAsia" w:ascii="宋体" w:hAnsi="宋体"/>
          <w:color w:val="auto"/>
          <w:sz w:val="24"/>
          <w:highlight w:val="none"/>
        </w:rPr>
      </w:pPr>
      <w:r>
        <w:rPr>
          <w:rFonts w:hint="eastAsia" w:ascii="宋体" w:hAnsi="宋体"/>
          <w:color w:val="auto"/>
          <w:sz w:val="24"/>
          <w:highlight w:val="none"/>
        </w:rPr>
        <w:t>1.4.2发票开具方式：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F48C14E">
      <w:pPr>
        <w:spacing w:line="360" w:lineRule="auto"/>
        <w:ind w:firstLine="437"/>
        <w:rPr>
          <w:rFonts w:hint="eastAsia" w:ascii="宋体" w:hAnsi="宋体"/>
          <w:b/>
          <w:bCs/>
          <w:color w:val="auto"/>
          <w:sz w:val="24"/>
          <w:highlight w:val="none"/>
          <w:lang w:val="zh-CN"/>
        </w:rPr>
      </w:pPr>
      <w:bookmarkStart w:id="59" w:name="_Toc19304"/>
      <w:bookmarkStart w:id="60" w:name="_Toc2846"/>
      <w:bookmarkStart w:id="61" w:name="_Toc32071"/>
      <w:r>
        <w:rPr>
          <w:rFonts w:hint="eastAsia" w:ascii="宋体" w:hAnsi="宋体"/>
          <w:b/>
          <w:bCs/>
          <w:color w:val="auto"/>
          <w:sz w:val="24"/>
          <w:highlight w:val="none"/>
          <w:lang w:val="zh-CN"/>
        </w:rPr>
        <w:t>1.</w:t>
      </w:r>
      <w:r>
        <w:rPr>
          <w:rFonts w:ascii="宋体" w:hAnsi="宋体"/>
          <w:b/>
          <w:bCs/>
          <w:color w:val="auto"/>
          <w:sz w:val="24"/>
          <w:highlight w:val="none"/>
          <w:lang w:val="zh-CN"/>
        </w:rPr>
        <w:t xml:space="preserve">5 </w:t>
      </w:r>
      <w:r>
        <w:rPr>
          <w:rFonts w:hint="eastAsia" w:ascii="宋体" w:hAnsi="宋体"/>
          <w:b/>
          <w:bCs/>
          <w:color w:val="auto"/>
          <w:sz w:val="24"/>
          <w:highlight w:val="none"/>
          <w:lang w:val="zh-CN"/>
        </w:rPr>
        <w:t>服务</w:t>
      </w:r>
      <w:r>
        <w:rPr>
          <w:rFonts w:ascii="宋体" w:hAnsi="宋体"/>
          <w:b/>
          <w:bCs/>
          <w:color w:val="auto"/>
          <w:sz w:val="24"/>
          <w:highlight w:val="none"/>
          <w:lang w:val="zh-CN"/>
        </w:rPr>
        <w:t>期限</w:t>
      </w:r>
      <w:r>
        <w:rPr>
          <w:rFonts w:hint="eastAsia" w:ascii="宋体" w:hAnsi="宋体"/>
          <w:b/>
          <w:bCs/>
          <w:color w:val="auto"/>
          <w:sz w:val="24"/>
          <w:highlight w:val="none"/>
          <w:lang w:val="zh-CN"/>
        </w:rPr>
        <w:t>、地点和方式</w:t>
      </w:r>
      <w:bookmarkEnd w:id="59"/>
      <w:bookmarkEnd w:id="60"/>
      <w:bookmarkEnd w:id="61"/>
    </w:p>
    <w:p w14:paraId="514C684F">
      <w:pPr>
        <w:spacing w:line="360" w:lineRule="auto"/>
        <w:ind w:firstLine="435"/>
        <w:rPr>
          <w:rFonts w:hint="eastAsia" w:ascii="宋体" w:hAnsi="宋体"/>
          <w:color w:val="auto"/>
          <w:sz w:val="24"/>
          <w:highlight w:val="none"/>
          <w:u w:val="single"/>
        </w:rPr>
      </w:pPr>
      <w:r>
        <w:rPr>
          <w:rFonts w:hint="eastAsia" w:ascii="宋体" w:hAnsi="宋体"/>
          <w:color w:val="auto"/>
          <w:sz w:val="24"/>
          <w:highlight w:val="none"/>
        </w:rPr>
        <w:t>1.5.1服务期限</w:t>
      </w:r>
      <w:r>
        <w:rPr>
          <w:rFonts w:ascii="宋体" w:hAnsi="宋体"/>
          <w:color w:val="auto"/>
          <w:sz w:val="24"/>
          <w:highlight w:val="none"/>
        </w:rPr>
        <w:t>：</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B9D8674">
      <w:pPr>
        <w:spacing w:line="360" w:lineRule="auto"/>
        <w:ind w:firstLine="435"/>
        <w:rPr>
          <w:rFonts w:hint="eastAsia" w:ascii="宋体" w:hAnsi="宋体"/>
          <w:color w:val="auto"/>
          <w:sz w:val="24"/>
          <w:highlight w:val="none"/>
        </w:rPr>
      </w:pPr>
      <w:r>
        <w:rPr>
          <w:rFonts w:hint="eastAsia" w:ascii="宋体" w:hAnsi="宋体"/>
          <w:color w:val="auto"/>
          <w:sz w:val="24"/>
          <w:highlight w:val="none"/>
        </w:rPr>
        <w:t>1.5.2服务地点</w:t>
      </w:r>
      <w:r>
        <w:rPr>
          <w:rFonts w:ascii="宋体" w:hAnsi="宋体"/>
          <w:color w:val="auto"/>
          <w:sz w:val="24"/>
          <w:highlight w:val="none"/>
        </w:rPr>
        <w:t>：</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7CCC508">
      <w:pPr>
        <w:spacing w:line="360" w:lineRule="auto"/>
        <w:ind w:firstLine="435"/>
        <w:rPr>
          <w:rFonts w:hint="eastAsia" w:ascii="宋体" w:hAnsi="宋体"/>
          <w:color w:val="auto"/>
          <w:sz w:val="24"/>
          <w:highlight w:val="none"/>
        </w:rPr>
      </w:pPr>
      <w:r>
        <w:rPr>
          <w:rFonts w:hint="eastAsia" w:ascii="宋体" w:hAnsi="宋体"/>
          <w:color w:val="auto"/>
          <w:sz w:val="24"/>
          <w:highlight w:val="none"/>
        </w:rPr>
        <w:t>1.5.3服务方式：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E4FAE7C">
      <w:pPr>
        <w:spacing w:line="360" w:lineRule="auto"/>
        <w:ind w:firstLine="437"/>
        <w:rPr>
          <w:rFonts w:hint="eastAsia" w:ascii="宋体" w:hAnsi="宋体"/>
          <w:b/>
          <w:bCs/>
          <w:color w:val="auto"/>
          <w:sz w:val="24"/>
          <w:highlight w:val="none"/>
          <w:lang w:val="zh-CN"/>
        </w:rPr>
      </w:pPr>
      <w:bookmarkStart w:id="62" w:name="_Toc21423"/>
      <w:bookmarkStart w:id="63" w:name="_Toc27250"/>
      <w:bookmarkStart w:id="64" w:name="_Toc19554"/>
      <w:r>
        <w:rPr>
          <w:rFonts w:hint="eastAsia" w:ascii="宋体" w:hAnsi="宋体"/>
          <w:b/>
          <w:bCs/>
          <w:color w:val="auto"/>
          <w:sz w:val="24"/>
          <w:highlight w:val="none"/>
          <w:lang w:val="zh-CN"/>
        </w:rPr>
        <w:t>1.6 违约责任</w:t>
      </w:r>
      <w:bookmarkEnd w:id="62"/>
      <w:bookmarkEnd w:id="63"/>
      <w:bookmarkEnd w:id="64"/>
    </w:p>
    <w:p w14:paraId="7BF52B52">
      <w:pPr>
        <w:spacing w:line="360" w:lineRule="auto"/>
        <w:ind w:firstLine="435"/>
        <w:rPr>
          <w:rFonts w:hint="eastAsia" w:ascii="宋体" w:hAnsi="宋体"/>
          <w:color w:val="auto"/>
          <w:sz w:val="24"/>
          <w:highlight w:val="none"/>
        </w:rPr>
      </w:pPr>
      <w:r>
        <w:rPr>
          <w:rFonts w:hint="eastAsia" w:ascii="宋体" w:hAnsi="宋体"/>
          <w:color w:val="auto"/>
          <w:sz w:val="24"/>
          <w:highlight w:val="none"/>
        </w:rPr>
        <w:t>1.6.1</w:t>
      </w:r>
      <w:r>
        <w:rPr>
          <w:rFonts w:ascii="宋体" w:hAnsi="宋体"/>
          <w:color w:val="auto"/>
          <w:sz w:val="24"/>
          <w:highlight w:val="none"/>
        </w:rPr>
        <w:t>除不可抗力外，如果乙方没有按照本合同约定的期限</w:t>
      </w:r>
      <w:r>
        <w:rPr>
          <w:rFonts w:hint="eastAsia" w:ascii="宋体" w:hAnsi="宋体"/>
          <w:color w:val="auto"/>
          <w:sz w:val="24"/>
          <w:highlight w:val="none"/>
        </w:rPr>
        <w:t>、</w:t>
      </w:r>
      <w:r>
        <w:rPr>
          <w:rFonts w:ascii="宋体" w:hAnsi="宋体"/>
          <w:color w:val="auto"/>
          <w:sz w:val="24"/>
          <w:highlight w:val="none"/>
        </w:rPr>
        <w:t>地点和方式</w:t>
      </w:r>
      <w:r>
        <w:rPr>
          <w:rFonts w:hint="eastAsia" w:ascii="宋体" w:hAnsi="宋体"/>
          <w:color w:val="auto"/>
          <w:sz w:val="24"/>
          <w:highlight w:val="none"/>
        </w:rPr>
        <w:t>履行</w:t>
      </w:r>
      <w:r>
        <w:rPr>
          <w:rFonts w:ascii="宋体" w:hAnsi="宋体"/>
          <w:color w:val="auto"/>
          <w:sz w:val="24"/>
          <w:highlight w:val="none"/>
        </w:rPr>
        <w:t>，那么甲方可要求乙方支付违约金</w:t>
      </w:r>
      <w:r>
        <w:rPr>
          <w:rFonts w:hint="eastAsia" w:ascii="宋体" w:hAnsi="宋体"/>
          <w:color w:val="auto"/>
          <w:sz w:val="24"/>
          <w:highlight w:val="none"/>
        </w:rPr>
        <w:t>，</w:t>
      </w:r>
      <w:r>
        <w:rPr>
          <w:rFonts w:ascii="宋体" w:hAnsi="宋体"/>
          <w:color w:val="auto"/>
          <w:sz w:val="24"/>
          <w:highlight w:val="none"/>
        </w:rPr>
        <w:t>违约金按每迟延</w:t>
      </w:r>
      <w:r>
        <w:rPr>
          <w:rFonts w:hint="eastAsia" w:ascii="宋体" w:hAnsi="宋体"/>
          <w:color w:val="auto"/>
          <w:sz w:val="24"/>
          <w:highlight w:val="none"/>
        </w:rPr>
        <w:t>履行</w:t>
      </w:r>
      <w:r>
        <w:rPr>
          <w:rFonts w:ascii="宋体" w:hAnsi="宋体"/>
          <w:color w:val="auto"/>
          <w:sz w:val="24"/>
          <w:highlight w:val="none"/>
        </w:rPr>
        <w:t>一日的应提供而未</w:t>
      </w:r>
      <w:r>
        <w:rPr>
          <w:rFonts w:hint="eastAsia" w:ascii="宋体" w:hAnsi="宋体"/>
          <w:color w:val="auto"/>
          <w:sz w:val="24"/>
          <w:highlight w:val="none"/>
        </w:rPr>
        <w:t>提供</w:t>
      </w:r>
      <w:r>
        <w:rPr>
          <w:rFonts w:ascii="宋体" w:hAnsi="宋体"/>
          <w:color w:val="auto"/>
          <w:sz w:val="24"/>
          <w:highlight w:val="none"/>
        </w:rPr>
        <w:t>服务价格的</w:t>
      </w:r>
      <w:r>
        <w:rPr>
          <w:rFonts w:hint="eastAsia" w:ascii="宋体" w:hAnsi="宋体"/>
          <w:color w:val="auto"/>
          <w:sz w:val="24"/>
          <w:highlight w:val="none"/>
          <w:u w:val="single"/>
        </w:rPr>
        <w:t xml:space="preserve"> 0.1 </w:t>
      </w:r>
      <w:r>
        <w:rPr>
          <w:rFonts w:ascii="宋体" w:hAnsi="宋体"/>
          <w:color w:val="auto"/>
          <w:sz w:val="24"/>
          <w:highlight w:val="none"/>
        </w:rPr>
        <w:t>%计算</w:t>
      </w:r>
      <w:r>
        <w:rPr>
          <w:rFonts w:hint="eastAsia" w:ascii="宋体" w:hAnsi="宋体"/>
          <w:color w:val="auto"/>
          <w:sz w:val="24"/>
          <w:highlight w:val="none"/>
        </w:rPr>
        <w:t>，</w:t>
      </w:r>
      <w:r>
        <w:rPr>
          <w:rFonts w:ascii="宋体" w:hAnsi="宋体"/>
          <w:color w:val="auto"/>
          <w:sz w:val="24"/>
          <w:highlight w:val="none"/>
        </w:rPr>
        <w:t>最高限额为</w:t>
      </w:r>
      <w:r>
        <w:rPr>
          <w:rFonts w:hint="eastAsia" w:ascii="宋体" w:hAnsi="宋体"/>
          <w:color w:val="auto"/>
          <w:sz w:val="24"/>
          <w:highlight w:val="none"/>
        </w:rPr>
        <w:t>本</w:t>
      </w:r>
      <w:r>
        <w:rPr>
          <w:rFonts w:ascii="宋体" w:hAnsi="宋体"/>
          <w:color w:val="auto"/>
          <w:sz w:val="24"/>
          <w:highlight w:val="none"/>
        </w:rPr>
        <w:t>合同总价的</w:t>
      </w:r>
      <w:r>
        <w:rPr>
          <w:rFonts w:hint="eastAsia" w:ascii="宋体" w:hAnsi="宋体"/>
          <w:color w:val="auto"/>
          <w:sz w:val="24"/>
          <w:highlight w:val="none"/>
          <w:u w:val="single"/>
        </w:rPr>
        <w:t xml:space="preserve"> 5</w:t>
      </w:r>
      <w:r>
        <w:rPr>
          <w:rFonts w:ascii="宋体" w:hAnsi="宋体"/>
          <w:color w:val="auto"/>
          <w:sz w:val="24"/>
          <w:highlight w:val="none"/>
        </w:rPr>
        <w:t>%</w:t>
      </w:r>
      <w:r>
        <w:rPr>
          <w:rFonts w:hint="eastAsia" w:ascii="宋体" w:hAnsi="宋体"/>
          <w:color w:val="auto"/>
          <w:sz w:val="24"/>
          <w:highlight w:val="none"/>
        </w:rPr>
        <w:t>；</w:t>
      </w:r>
      <w:r>
        <w:rPr>
          <w:rFonts w:ascii="宋体" w:hAnsi="宋体"/>
          <w:color w:val="auto"/>
          <w:sz w:val="24"/>
          <w:highlight w:val="none"/>
        </w:rPr>
        <w:t>迟延</w:t>
      </w:r>
      <w:r>
        <w:rPr>
          <w:rFonts w:hint="eastAsia" w:ascii="宋体" w:hAnsi="宋体"/>
          <w:color w:val="auto"/>
          <w:sz w:val="24"/>
          <w:highlight w:val="none"/>
        </w:rPr>
        <w:t>履行</w:t>
      </w:r>
      <w:r>
        <w:rPr>
          <w:rFonts w:ascii="宋体" w:hAnsi="宋体"/>
          <w:color w:val="auto"/>
          <w:sz w:val="24"/>
          <w:highlight w:val="none"/>
        </w:rPr>
        <w:t>的违约金计算数额达到前述最高限额之日起</w:t>
      </w:r>
      <w:r>
        <w:rPr>
          <w:rFonts w:hint="eastAsia" w:ascii="宋体" w:hAnsi="宋体"/>
          <w:color w:val="auto"/>
          <w:sz w:val="24"/>
          <w:highlight w:val="none"/>
        </w:rPr>
        <w:t>，</w:t>
      </w:r>
      <w:r>
        <w:rPr>
          <w:rFonts w:ascii="宋体" w:hAnsi="宋体"/>
          <w:color w:val="auto"/>
          <w:sz w:val="24"/>
          <w:highlight w:val="none"/>
        </w:rPr>
        <w:t>甲方有权在要求乙方支付违约金的同时</w:t>
      </w:r>
      <w:r>
        <w:rPr>
          <w:rFonts w:hint="eastAsia" w:ascii="宋体" w:hAnsi="宋体"/>
          <w:color w:val="auto"/>
          <w:sz w:val="24"/>
          <w:highlight w:val="none"/>
        </w:rPr>
        <w:t>，书面通知乙方</w:t>
      </w:r>
      <w:r>
        <w:rPr>
          <w:rFonts w:ascii="宋体" w:hAnsi="宋体"/>
          <w:color w:val="auto"/>
          <w:sz w:val="24"/>
          <w:highlight w:val="none"/>
        </w:rPr>
        <w:t>解除本合同</w:t>
      </w:r>
      <w:r>
        <w:rPr>
          <w:rFonts w:hint="eastAsia" w:ascii="宋体" w:hAnsi="宋体"/>
          <w:color w:val="auto"/>
          <w:sz w:val="24"/>
          <w:highlight w:val="none"/>
        </w:rPr>
        <w:t>；</w:t>
      </w:r>
    </w:p>
    <w:p w14:paraId="23E0BC6B">
      <w:pPr>
        <w:spacing w:line="360" w:lineRule="auto"/>
        <w:ind w:firstLine="435"/>
        <w:rPr>
          <w:rFonts w:hint="eastAsia" w:ascii="宋体" w:hAnsi="宋体"/>
          <w:color w:val="auto"/>
          <w:sz w:val="24"/>
          <w:highlight w:val="none"/>
        </w:rPr>
      </w:pPr>
      <w:r>
        <w:rPr>
          <w:rFonts w:hint="eastAsia" w:ascii="宋体" w:hAnsi="宋体"/>
          <w:color w:val="auto"/>
          <w:sz w:val="24"/>
          <w:highlight w:val="none"/>
        </w:rPr>
        <w:t>1.6.2</w:t>
      </w:r>
      <w:r>
        <w:rPr>
          <w:rFonts w:ascii="宋体" w:hAnsi="宋体"/>
          <w:color w:val="auto"/>
          <w:sz w:val="24"/>
          <w:highlight w:val="none"/>
        </w:rPr>
        <w:t>除不可抗力外，如果甲方没有按照本合同约定的付款方式付款，那么乙方可要求甲方支付违约金</w:t>
      </w:r>
      <w:r>
        <w:rPr>
          <w:rFonts w:hint="eastAsia" w:ascii="宋体" w:hAnsi="宋体"/>
          <w:color w:val="auto"/>
          <w:sz w:val="24"/>
          <w:highlight w:val="none"/>
        </w:rPr>
        <w:t>，</w:t>
      </w:r>
      <w:r>
        <w:rPr>
          <w:rFonts w:ascii="宋体" w:hAnsi="宋体"/>
          <w:color w:val="auto"/>
          <w:sz w:val="24"/>
          <w:highlight w:val="none"/>
        </w:rPr>
        <w:t>违约金按每迟延</w:t>
      </w:r>
      <w:r>
        <w:rPr>
          <w:rFonts w:hint="eastAsia" w:ascii="宋体" w:hAnsi="宋体"/>
          <w:color w:val="auto"/>
          <w:sz w:val="24"/>
          <w:highlight w:val="none"/>
        </w:rPr>
        <w:t>付款</w:t>
      </w:r>
      <w:r>
        <w:rPr>
          <w:rFonts w:ascii="宋体" w:hAnsi="宋体"/>
          <w:color w:val="auto"/>
          <w:sz w:val="24"/>
          <w:highlight w:val="none"/>
        </w:rPr>
        <w:t>一日的应付而未付款的</w:t>
      </w:r>
      <w:r>
        <w:rPr>
          <w:rFonts w:hint="eastAsia" w:ascii="宋体" w:hAnsi="宋体"/>
          <w:color w:val="auto"/>
          <w:sz w:val="24"/>
          <w:highlight w:val="none"/>
          <w:u w:val="single"/>
        </w:rPr>
        <w:t xml:space="preserve">0.1 </w:t>
      </w:r>
      <w:r>
        <w:rPr>
          <w:rFonts w:ascii="宋体" w:hAnsi="宋体"/>
          <w:color w:val="auto"/>
          <w:sz w:val="24"/>
          <w:highlight w:val="none"/>
        </w:rPr>
        <w:t>%计算</w:t>
      </w:r>
      <w:r>
        <w:rPr>
          <w:rFonts w:hint="eastAsia" w:ascii="宋体" w:hAnsi="宋体"/>
          <w:color w:val="auto"/>
          <w:sz w:val="24"/>
          <w:highlight w:val="none"/>
        </w:rPr>
        <w:t>，</w:t>
      </w:r>
      <w:r>
        <w:rPr>
          <w:rFonts w:ascii="宋体" w:hAnsi="宋体"/>
          <w:color w:val="auto"/>
          <w:sz w:val="24"/>
          <w:highlight w:val="none"/>
        </w:rPr>
        <w:t>最高限额为</w:t>
      </w:r>
      <w:r>
        <w:rPr>
          <w:rFonts w:hint="eastAsia" w:ascii="宋体" w:hAnsi="宋体"/>
          <w:color w:val="auto"/>
          <w:sz w:val="24"/>
          <w:highlight w:val="none"/>
        </w:rPr>
        <w:t>本</w:t>
      </w:r>
      <w:r>
        <w:rPr>
          <w:rFonts w:ascii="宋体" w:hAnsi="宋体"/>
          <w:color w:val="auto"/>
          <w:sz w:val="24"/>
          <w:highlight w:val="none"/>
        </w:rPr>
        <w:t>合同总价的</w:t>
      </w:r>
      <w:r>
        <w:rPr>
          <w:rFonts w:hint="eastAsia" w:ascii="宋体" w:hAnsi="宋体"/>
          <w:color w:val="auto"/>
          <w:sz w:val="24"/>
          <w:highlight w:val="none"/>
          <w:u w:val="single"/>
        </w:rPr>
        <w:t xml:space="preserve"> 5 </w:t>
      </w:r>
      <w:r>
        <w:rPr>
          <w:rFonts w:ascii="宋体" w:hAnsi="宋体"/>
          <w:color w:val="auto"/>
          <w:sz w:val="24"/>
          <w:highlight w:val="none"/>
        </w:rPr>
        <w:t>%</w:t>
      </w:r>
      <w:r>
        <w:rPr>
          <w:rFonts w:hint="eastAsia" w:ascii="宋体" w:hAnsi="宋体"/>
          <w:color w:val="auto"/>
          <w:sz w:val="24"/>
          <w:highlight w:val="none"/>
        </w:rPr>
        <w:t>；</w:t>
      </w:r>
      <w:r>
        <w:rPr>
          <w:rFonts w:ascii="宋体" w:hAnsi="宋体"/>
          <w:color w:val="auto"/>
          <w:sz w:val="24"/>
          <w:highlight w:val="none"/>
        </w:rPr>
        <w:t>迟延</w:t>
      </w:r>
      <w:r>
        <w:rPr>
          <w:rFonts w:hint="eastAsia" w:ascii="宋体" w:hAnsi="宋体"/>
          <w:color w:val="auto"/>
          <w:sz w:val="24"/>
          <w:highlight w:val="none"/>
        </w:rPr>
        <w:t>付款</w:t>
      </w:r>
      <w:r>
        <w:rPr>
          <w:rFonts w:ascii="宋体" w:hAnsi="宋体"/>
          <w:color w:val="auto"/>
          <w:sz w:val="24"/>
          <w:highlight w:val="none"/>
        </w:rPr>
        <w:t>的违约金计算数额达到前述最高限额之日起</w:t>
      </w:r>
      <w:r>
        <w:rPr>
          <w:rFonts w:hint="eastAsia" w:ascii="宋体" w:hAnsi="宋体"/>
          <w:color w:val="auto"/>
          <w:sz w:val="24"/>
          <w:highlight w:val="none"/>
        </w:rPr>
        <w:t>，乙</w:t>
      </w:r>
      <w:r>
        <w:rPr>
          <w:rFonts w:ascii="宋体" w:hAnsi="宋体"/>
          <w:color w:val="auto"/>
          <w:sz w:val="24"/>
          <w:highlight w:val="none"/>
        </w:rPr>
        <w:t>方有权在要求甲方支付违约金的同时</w:t>
      </w:r>
      <w:r>
        <w:rPr>
          <w:rFonts w:hint="eastAsia" w:ascii="宋体" w:hAnsi="宋体"/>
          <w:color w:val="auto"/>
          <w:sz w:val="24"/>
          <w:highlight w:val="none"/>
        </w:rPr>
        <w:t>，书面通知甲方</w:t>
      </w:r>
      <w:r>
        <w:rPr>
          <w:rFonts w:ascii="宋体" w:hAnsi="宋体"/>
          <w:color w:val="auto"/>
          <w:sz w:val="24"/>
          <w:highlight w:val="none"/>
        </w:rPr>
        <w:t>解除本合同</w:t>
      </w:r>
      <w:r>
        <w:rPr>
          <w:rFonts w:hint="eastAsia" w:ascii="宋体" w:hAnsi="宋体"/>
          <w:color w:val="auto"/>
          <w:sz w:val="24"/>
          <w:highlight w:val="none"/>
        </w:rPr>
        <w:t>；</w:t>
      </w:r>
    </w:p>
    <w:p w14:paraId="548A73A3">
      <w:pPr>
        <w:spacing w:line="360" w:lineRule="auto"/>
        <w:ind w:firstLine="435"/>
        <w:rPr>
          <w:rFonts w:hint="eastAsia" w:ascii="宋体" w:hAnsi="宋体"/>
          <w:color w:val="auto"/>
          <w:sz w:val="24"/>
          <w:highlight w:val="none"/>
        </w:rPr>
      </w:pPr>
      <w:r>
        <w:rPr>
          <w:rFonts w:hint="eastAsia" w:ascii="宋体" w:hAnsi="宋体"/>
          <w:color w:val="auto"/>
          <w:sz w:val="24"/>
          <w:highlight w:val="none"/>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00B35F1F">
      <w:pPr>
        <w:spacing w:line="360" w:lineRule="auto"/>
        <w:ind w:firstLine="435"/>
        <w:rPr>
          <w:rFonts w:hint="eastAsia" w:ascii="宋体" w:hAnsi="宋体"/>
          <w:color w:val="auto"/>
          <w:sz w:val="24"/>
          <w:highlight w:val="none"/>
        </w:rPr>
      </w:pPr>
      <w:r>
        <w:rPr>
          <w:rFonts w:hint="eastAsia" w:ascii="宋体" w:hAnsi="宋体"/>
          <w:color w:val="auto"/>
          <w:sz w:val="24"/>
          <w:highlight w:val="none"/>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1BA543BA">
      <w:pPr>
        <w:spacing w:line="360" w:lineRule="auto"/>
        <w:ind w:firstLine="435"/>
        <w:rPr>
          <w:rFonts w:hint="eastAsia" w:ascii="宋体" w:hAnsi="宋体"/>
          <w:color w:val="auto"/>
          <w:sz w:val="24"/>
          <w:highlight w:val="none"/>
        </w:rPr>
      </w:pPr>
      <w:r>
        <w:rPr>
          <w:rFonts w:hint="eastAsia" w:ascii="宋体" w:hAnsi="宋体"/>
          <w:color w:val="auto"/>
          <w:sz w:val="24"/>
          <w:highlight w:val="none"/>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E556C9E">
      <w:pPr>
        <w:spacing w:line="360" w:lineRule="auto"/>
        <w:ind w:firstLine="435"/>
        <w:rPr>
          <w:rFonts w:hint="eastAsia" w:ascii="宋体" w:hAnsi="宋体"/>
          <w:color w:val="auto"/>
          <w:sz w:val="24"/>
          <w:highlight w:val="none"/>
        </w:rPr>
      </w:pPr>
      <w:r>
        <w:rPr>
          <w:rFonts w:hint="eastAsia" w:ascii="宋体" w:hAnsi="宋体"/>
          <w:color w:val="auto"/>
          <w:sz w:val="24"/>
          <w:highlight w:val="none"/>
        </w:rPr>
        <w:t>1.6.6如果出现政府采购监督管理部门在处理投诉事项期间，书面通知甲方暂停采购活动的情形，或者询问或质疑事项可能影响成交结果的，导致甲方中止履行合同的情形，均不视为甲方违约。</w:t>
      </w:r>
    </w:p>
    <w:p w14:paraId="1FD3A60F">
      <w:pPr>
        <w:spacing w:line="360" w:lineRule="auto"/>
        <w:ind w:firstLine="435"/>
        <w:rPr>
          <w:rFonts w:hint="eastAsia" w:ascii="宋体" w:hAnsi="宋体"/>
          <w:color w:val="auto"/>
          <w:sz w:val="24"/>
          <w:highlight w:val="none"/>
        </w:rPr>
      </w:pPr>
      <w:bookmarkStart w:id="65" w:name="_Toc16021"/>
      <w:bookmarkStart w:id="66" w:name="_Toc28375"/>
      <w:bookmarkStart w:id="67" w:name="_Toc15583"/>
      <w:r>
        <w:rPr>
          <w:rFonts w:hint="eastAsia" w:ascii="宋体" w:hAnsi="宋体"/>
          <w:color w:val="auto"/>
          <w:sz w:val="24"/>
          <w:highlight w:val="none"/>
        </w:rPr>
        <w:t>1.6.7因甲方未按合同约定支付价款、未按合同约定受领标的物、擅自解除合同、逾期退还履约保证金导致乙方遭受的直接损失，乙方可向甲方申请赔偿，赔偿金额由双方协商一致；针对因政策变化等原因不能签订合同或解除合同时，造成乙方合法利益受损的情形，可以给予乙方合理补偿，补偿金额不得超过乙方的直接损失。</w:t>
      </w:r>
    </w:p>
    <w:p w14:paraId="01B84852">
      <w:pPr>
        <w:spacing w:line="360" w:lineRule="auto"/>
        <w:ind w:firstLine="435"/>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1.6.8如甲方未争取到建设资金，导致项目无法继续开展，应组织乙方友好协商签订合同终止协议，并在协议签订后7个工作</w:t>
      </w:r>
      <w:r>
        <w:rPr>
          <w:rFonts w:hint="eastAsia" w:ascii="宋体" w:hAnsi="宋体" w:cs="Times New Roman"/>
          <w:color w:val="auto"/>
          <w:sz w:val="24"/>
          <w:highlight w:val="none"/>
          <w:lang w:val="en-US" w:eastAsia="zh-CN"/>
        </w:rPr>
        <w:t>日内</w:t>
      </w:r>
      <w:r>
        <w:rPr>
          <w:rFonts w:hint="eastAsia" w:ascii="宋体" w:hAnsi="宋体" w:eastAsia="宋体" w:cs="Times New Roman"/>
          <w:color w:val="auto"/>
          <w:sz w:val="24"/>
          <w:highlight w:val="none"/>
          <w:lang w:val="en-US" w:eastAsia="zh-CN"/>
        </w:rPr>
        <w:t>一次性补齐支付乙方前期咨询劳务费用共计拾万元（若成交价低于拾万元按照成交价结算）。</w:t>
      </w:r>
    </w:p>
    <w:p w14:paraId="7D6B2FB1">
      <w:pPr>
        <w:spacing w:line="360" w:lineRule="auto"/>
        <w:ind w:firstLine="437"/>
        <w:rPr>
          <w:rFonts w:hint="eastAsia" w:ascii="宋体" w:hAnsi="宋体"/>
          <w:b/>
          <w:bCs/>
          <w:color w:val="auto"/>
          <w:sz w:val="24"/>
          <w:highlight w:val="none"/>
          <w:lang w:val="zh-CN"/>
        </w:rPr>
      </w:pPr>
      <w:r>
        <w:rPr>
          <w:rFonts w:hint="eastAsia" w:ascii="宋体" w:hAnsi="宋体"/>
          <w:b/>
          <w:bCs/>
          <w:color w:val="auto"/>
          <w:sz w:val="24"/>
          <w:highlight w:val="none"/>
          <w:lang w:val="zh-CN"/>
        </w:rPr>
        <w:t>1.7</w:t>
      </w:r>
      <w:r>
        <w:rPr>
          <w:rFonts w:ascii="宋体" w:hAnsi="宋体"/>
          <w:b/>
          <w:bCs/>
          <w:color w:val="auto"/>
          <w:sz w:val="24"/>
          <w:highlight w:val="none"/>
          <w:lang w:val="zh-CN"/>
        </w:rPr>
        <w:t xml:space="preserve"> </w:t>
      </w:r>
      <w:r>
        <w:rPr>
          <w:rFonts w:hint="eastAsia" w:ascii="宋体" w:hAnsi="宋体"/>
          <w:b/>
          <w:bCs/>
          <w:color w:val="auto"/>
          <w:sz w:val="24"/>
          <w:highlight w:val="none"/>
          <w:lang w:val="zh-CN"/>
        </w:rPr>
        <w:t>合同</w:t>
      </w:r>
      <w:r>
        <w:rPr>
          <w:rFonts w:ascii="宋体" w:hAnsi="宋体"/>
          <w:b/>
          <w:bCs/>
          <w:color w:val="auto"/>
          <w:sz w:val="24"/>
          <w:highlight w:val="none"/>
          <w:lang w:val="zh-CN"/>
        </w:rPr>
        <w:t>争议的解决</w:t>
      </w:r>
      <w:bookmarkEnd w:id="65"/>
      <w:bookmarkEnd w:id="66"/>
      <w:bookmarkEnd w:id="67"/>
    </w:p>
    <w:p w14:paraId="52597D46">
      <w:pPr>
        <w:spacing w:line="360" w:lineRule="auto"/>
        <w:ind w:firstLine="435"/>
        <w:rPr>
          <w:rFonts w:hint="eastAsia" w:ascii="宋体" w:hAnsi="宋体"/>
          <w:color w:val="auto"/>
          <w:sz w:val="24"/>
          <w:highlight w:val="none"/>
        </w:rPr>
      </w:pPr>
      <w:r>
        <w:rPr>
          <w:rFonts w:hint="eastAsia" w:ascii="宋体" w:hAnsi="宋体"/>
          <w:color w:val="auto"/>
          <w:sz w:val="24"/>
          <w:highlight w:val="none"/>
        </w:rPr>
        <w:t>本合</w:t>
      </w:r>
      <w:r>
        <w:rPr>
          <w:rFonts w:ascii="宋体" w:hAnsi="宋体"/>
          <w:color w:val="auto"/>
          <w:sz w:val="24"/>
          <w:highlight w:val="none"/>
        </w:rPr>
        <w:t>同履行过程中发生的任何争议，双方当事人均可</w:t>
      </w:r>
      <w:r>
        <w:rPr>
          <w:rFonts w:hint="eastAsia" w:ascii="宋体" w:hAnsi="宋体"/>
          <w:color w:val="auto"/>
          <w:sz w:val="24"/>
          <w:highlight w:val="none"/>
        </w:rPr>
        <w:t>通过和解或者调解解决；不愿和解、调解或者和解、调解不成的，可以选择下列第</w:t>
      </w:r>
      <w:r>
        <w:rPr>
          <w:rFonts w:hint="eastAsia" w:ascii="宋体" w:hAnsi="宋体"/>
          <w:color w:val="auto"/>
          <w:sz w:val="24"/>
          <w:highlight w:val="none"/>
          <w:u w:val="single"/>
        </w:rPr>
        <w:t xml:space="preserve"> 2  </w:t>
      </w:r>
      <w:r>
        <w:rPr>
          <w:rFonts w:hint="eastAsia" w:ascii="宋体" w:hAnsi="宋体"/>
          <w:color w:val="auto"/>
          <w:sz w:val="24"/>
          <w:highlight w:val="none"/>
        </w:rPr>
        <w:t>种方式解决：</w:t>
      </w:r>
    </w:p>
    <w:p w14:paraId="334B3640">
      <w:pPr>
        <w:spacing w:line="360" w:lineRule="auto"/>
        <w:ind w:firstLine="435"/>
        <w:rPr>
          <w:rFonts w:hint="eastAsia" w:ascii="宋体" w:hAnsi="宋体"/>
          <w:color w:val="auto"/>
          <w:sz w:val="24"/>
          <w:highlight w:val="none"/>
        </w:rPr>
      </w:pPr>
      <w:r>
        <w:rPr>
          <w:rFonts w:hint="eastAsia" w:ascii="宋体" w:hAnsi="宋体"/>
          <w:color w:val="auto"/>
          <w:sz w:val="24"/>
          <w:highlight w:val="none"/>
        </w:rPr>
        <w:t>1.7.1将争议提交</w:t>
      </w:r>
      <w:r>
        <w:rPr>
          <w:rFonts w:hint="eastAsia" w:ascii="宋体" w:hAnsi="宋体"/>
          <w:color w:val="auto"/>
          <w:sz w:val="24"/>
          <w:highlight w:val="none"/>
          <w:u w:val="single"/>
        </w:rPr>
        <w:t xml:space="preserve">              </w:t>
      </w:r>
      <w:r>
        <w:rPr>
          <w:rFonts w:hint="eastAsia" w:ascii="宋体" w:hAnsi="宋体"/>
          <w:color w:val="auto"/>
          <w:sz w:val="24"/>
          <w:highlight w:val="none"/>
        </w:rPr>
        <w:t>仲裁委员会依申请仲裁时其现行有效的仲裁规则裁决；</w:t>
      </w:r>
    </w:p>
    <w:p w14:paraId="3461C4E6">
      <w:pPr>
        <w:spacing w:line="360" w:lineRule="auto"/>
        <w:ind w:firstLine="435"/>
        <w:rPr>
          <w:rFonts w:hint="eastAsia" w:ascii="宋体" w:hAnsi="宋体"/>
          <w:color w:val="auto"/>
          <w:sz w:val="24"/>
          <w:highlight w:val="none"/>
        </w:rPr>
      </w:pPr>
      <w:r>
        <w:rPr>
          <w:rFonts w:hint="eastAsia" w:ascii="宋体" w:hAnsi="宋体"/>
          <w:color w:val="auto"/>
          <w:sz w:val="24"/>
          <w:highlight w:val="none"/>
        </w:rPr>
        <w:t>1.7.2向</w:t>
      </w:r>
      <w:r>
        <w:rPr>
          <w:rFonts w:hint="eastAsia" w:ascii="宋体" w:hAnsi="宋体"/>
          <w:color w:val="auto"/>
          <w:sz w:val="24"/>
          <w:highlight w:val="none"/>
          <w:u w:val="single"/>
        </w:rPr>
        <w:t xml:space="preserve"> 项目所在地</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人民法院起诉。</w:t>
      </w:r>
    </w:p>
    <w:p w14:paraId="148903A2">
      <w:pPr>
        <w:spacing w:line="360" w:lineRule="auto"/>
        <w:ind w:firstLine="437"/>
        <w:rPr>
          <w:rFonts w:hint="eastAsia" w:ascii="宋体" w:hAnsi="宋体"/>
          <w:b/>
          <w:bCs/>
          <w:color w:val="auto"/>
          <w:sz w:val="24"/>
          <w:highlight w:val="none"/>
          <w:lang w:val="zh-CN"/>
        </w:rPr>
      </w:pPr>
      <w:bookmarkStart w:id="68" w:name="_Toc15322"/>
      <w:bookmarkStart w:id="69" w:name="_Toc11173"/>
      <w:bookmarkStart w:id="70" w:name="_Toc7245"/>
      <w:r>
        <w:rPr>
          <w:rFonts w:hint="eastAsia" w:ascii="宋体" w:hAnsi="宋体"/>
          <w:b/>
          <w:bCs/>
          <w:color w:val="auto"/>
          <w:sz w:val="24"/>
          <w:highlight w:val="none"/>
          <w:lang w:val="zh-CN"/>
        </w:rPr>
        <w:t>1.8</w:t>
      </w:r>
      <w:r>
        <w:rPr>
          <w:rFonts w:ascii="宋体" w:hAnsi="宋体"/>
          <w:b/>
          <w:bCs/>
          <w:color w:val="auto"/>
          <w:sz w:val="24"/>
          <w:highlight w:val="none"/>
          <w:lang w:val="zh-CN"/>
        </w:rPr>
        <w:t xml:space="preserve"> 合同生效</w:t>
      </w:r>
      <w:bookmarkEnd w:id="68"/>
      <w:bookmarkEnd w:id="69"/>
      <w:bookmarkEnd w:id="70"/>
    </w:p>
    <w:p w14:paraId="7A4BEA10">
      <w:pPr>
        <w:spacing w:line="360" w:lineRule="auto"/>
        <w:ind w:firstLine="435"/>
        <w:rPr>
          <w:rFonts w:hint="eastAsia" w:ascii="宋体" w:hAnsi="宋体"/>
          <w:color w:val="auto"/>
          <w:sz w:val="24"/>
          <w:highlight w:val="none"/>
        </w:rPr>
      </w:pPr>
      <w:r>
        <w:rPr>
          <w:rFonts w:ascii="宋体" w:hAnsi="宋体"/>
          <w:color w:val="auto"/>
          <w:sz w:val="24"/>
          <w:highlight w:val="none"/>
        </w:rPr>
        <w:t>本合同自</w:t>
      </w:r>
      <w:r>
        <w:rPr>
          <w:rFonts w:hint="eastAsia" w:ascii="宋体" w:hAnsi="宋体"/>
          <w:color w:val="auto"/>
          <w:sz w:val="24"/>
          <w:highlight w:val="none"/>
        </w:rPr>
        <w:t>双方当事人盖章时</w:t>
      </w:r>
      <w:r>
        <w:rPr>
          <w:rFonts w:ascii="宋体" w:hAnsi="宋体"/>
          <w:color w:val="auto"/>
          <w:sz w:val="24"/>
          <w:highlight w:val="none"/>
        </w:rPr>
        <w:t>生效。</w:t>
      </w:r>
    </w:p>
    <w:p w14:paraId="74F4892D">
      <w:pPr>
        <w:autoSpaceDE w:val="0"/>
        <w:autoSpaceDN w:val="0"/>
        <w:adjustRightInd w:val="0"/>
        <w:spacing w:line="560" w:lineRule="exact"/>
        <w:rPr>
          <w:rFonts w:hint="eastAsia" w:ascii="宋体" w:hAnsi="宋体"/>
          <w:color w:val="auto"/>
          <w:sz w:val="24"/>
          <w:highlight w:val="none"/>
          <w:lang w:val="zh-CN"/>
        </w:rPr>
      </w:pPr>
    </w:p>
    <w:p w14:paraId="59A560FF">
      <w:pPr>
        <w:autoSpaceDE w:val="0"/>
        <w:autoSpaceDN w:val="0"/>
        <w:adjustRightInd w:val="0"/>
        <w:spacing w:line="560" w:lineRule="exact"/>
        <w:rPr>
          <w:rFonts w:hint="eastAsia" w:ascii="宋体" w:hAnsi="宋体"/>
          <w:color w:val="auto"/>
          <w:sz w:val="24"/>
          <w:highlight w:val="none"/>
          <w:lang w:val="zh-CN"/>
        </w:rPr>
      </w:pPr>
    </w:p>
    <w:p w14:paraId="11D958A7">
      <w:pPr>
        <w:autoSpaceDE w:val="0"/>
        <w:autoSpaceDN w:val="0"/>
        <w:adjustRightInd w:val="0"/>
        <w:spacing w:line="560" w:lineRule="exact"/>
        <w:rPr>
          <w:rFonts w:hint="eastAsia" w:ascii="宋体" w:hAnsi="宋体"/>
          <w:color w:val="auto"/>
          <w:sz w:val="24"/>
          <w:highlight w:val="none"/>
          <w:lang w:val="zh-CN"/>
        </w:rPr>
      </w:pPr>
    </w:p>
    <w:p w14:paraId="28B00F94">
      <w:pPr>
        <w:autoSpaceDE w:val="0"/>
        <w:autoSpaceDN w:val="0"/>
        <w:adjustRightInd w:val="0"/>
        <w:spacing w:line="560" w:lineRule="exact"/>
        <w:rPr>
          <w:rFonts w:hint="eastAsia" w:ascii="宋体" w:hAnsi="宋体"/>
          <w:bCs/>
          <w:color w:val="auto"/>
          <w:sz w:val="24"/>
          <w:highlight w:val="none"/>
          <w:lang w:val="zh-CN"/>
        </w:rPr>
      </w:pPr>
      <w:bookmarkStart w:id="71" w:name="_Toc331685783"/>
      <w:r>
        <w:rPr>
          <w:rFonts w:hint="eastAsia" w:ascii="宋体" w:hAnsi="宋体"/>
          <w:bCs/>
          <w:color w:val="auto"/>
          <w:sz w:val="24"/>
          <w:highlight w:val="none"/>
          <w:lang w:val="zh-CN"/>
        </w:rPr>
        <w:t xml:space="preserve">甲 </w:t>
      </w:r>
      <w:r>
        <w:rPr>
          <w:rFonts w:ascii="宋体" w:hAnsi="宋体"/>
          <w:bCs/>
          <w:color w:val="auto"/>
          <w:sz w:val="24"/>
          <w:highlight w:val="none"/>
          <w:lang w:val="zh-CN"/>
        </w:rPr>
        <w:t xml:space="preserve">   </w:t>
      </w:r>
      <w:r>
        <w:rPr>
          <w:rFonts w:hint="eastAsia" w:ascii="宋体" w:hAnsi="宋体"/>
          <w:bCs/>
          <w:color w:val="auto"/>
          <w:sz w:val="24"/>
          <w:highlight w:val="none"/>
          <w:lang w:val="zh-CN"/>
        </w:rPr>
        <w:t>方：</w:t>
      </w:r>
      <w:r>
        <w:rPr>
          <w:rFonts w:hint="eastAsia" w:ascii="宋体" w:hAnsi="宋体"/>
          <w:bCs/>
          <w:color w:val="auto"/>
          <w:sz w:val="24"/>
          <w:highlight w:val="none"/>
          <w:u w:val="single"/>
          <w:lang w:val="zh-CN"/>
        </w:rPr>
        <w:t xml:space="preserve">    （单位盖章）     </w:t>
      </w:r>
      <w:r>
        <w:rPr>
          <w:rFonts w:hint="eastAsia" w:ascii="宋体" w:hAnsi="宋体"/>
          <w:bCs/>
          <w:color w:val="auto"/>
          <w:sz w:val="24"/>
          <w:highlight w:val="none"/>
          <w:lang w:val="zh-CN"/>
        </w:rPr>
        <w:t xml:space="preserve">          乙方：</w:t>
      </w:r>
      <w:r>
        <w:rPr>
          <w:rFonts w:hint="eastAsia" w:ascii="宋体" w:hAnsi="宋体"/>
          <w:bCs/>
          <w:color w:val="auto"/>
          <w:sz w:val="24"/>
          <w:highlight w:val="none"/>
          <w:u w:val="single"/>
          <w:lang w:val="zh-CN"/>
        </w:rPr>
        <w:t xml:space="preserve">    （单位盖章）     </w:t>
      </w:r>
    </w:p>
    <w:p w14:paraId="0F9C536B">
      <w:pPr>
        <w:autoSpaceDE w:val="0"/>
        <w:autoSpaceDN w:val="0"/>
        <w:adjustRightInd w:val="0"/>
        <w:spacing w:line="56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法定代表人                             </w:t>
      </w:r>
      <w:r>
        <w:rPr>
          <w:rFonts w:ascii="宋体" w:hAnsi="宋体"/>
          <w:color w:val="auto"/>
          <w:sz w:val="24"/>
          <w:highlight w:val="none"/>
          <w:lang w:val="zh-CN"/>
        </w:rPr>
        <w:t xml:space="preserve">  </w:t>
      </w:r>
      <w:r>
        <w:rPr>
          <w:rFonts w:hint="eastAsia" w:ascii="宋体" w:hAnsi="宋体"/>
          <w:color w:val="auto"/>
          <w:sz w:val="24"/>
          <w:highlight w:val="none"/>
          <w:lang w:val="zh-CN"/>
        </w:rPr>
        <w:t>法定代表人</w:t>
      </w:r>
    </w:p>
    <w:p w14:paraId="129E6167">
      <w:pPr>
        <w:autoSpaceDE w:val="0"/>
        <w:autoSpaceDN w:val="0"/>
        <w:adjustRightInd w:val="0"/>
        <w:spacing w:line="560" w:lineRule="exact"/>
        <w:rPr>
          <w:rFonts w:hint="eastAsia" w:ascii="宋体" w:hAnsi="宋体"/>
          <w:color w:val="auto"/>
          <w:sz w:val="24"/>
          <w:highlight w:val="none"/>
          <w:lang w:val="zh-CN"/>
        </w:rPr>
      </w:pPr>
      <w:r>
        <w:rPr>
          <w:rFonts w:hint="eastAsia" w:ascii="宋体" w:hAnsi="宋体"/>
          <w:color w:val="auto"/>
          <w:sz w:val="24"/>
          <w:highlight w:val="none"/>
          <w:lang w:val="zh-CN"/>
        </w:rPr>
        <w:t>或授权代表（签字）：                      或授权代表（签字）：</w:t>
      </w:r>
    </w:p>
    <w:p w14:paraId="49E75927">
      <w:pPr>
        <w:widowControl/>
        <w:spacing w:line="560" w:lineRule="exact"/>
        <w:jc w:val="left"/>
        <w:rPr>
          <w:rFonts w:hint="eastAsia" w:ascii="宋体" w:hAnsi="宋体"/>
          <w:bCs/>
          <w:color w:val="auto"/>
          <w:sz w:val="24"/>
          <w:highlight w:val="none"/>
        </w:rPr>
      </w:pPr>
      <w:r>
        <w:rPr>
          <w:rFonts w:hint="eastAsia" w:ascii="宋体" w:hAnsi="宋体"/>
          <w:bCs/>
          <w:color w:val="auto"/>
          <w:sz w:val="24"/>
          <w:highlight w:val="none"/>
        </w:rPr>
        <w:t>时间：</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日               时间：</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68898551">
      <w:pPr>
        <w:widowControl/>
        <w:spacing w:line="560" w:lineRule="exact"/>
        <w:jc w:val="left"/>
        <w:rPr>
          <w:rFonts w:hint="eastAsia" w:ascii="宋体" w:hAnsi="宋体"/>
          <w:bCs/>
          <w:color w:val="auto"/>
          <w:sz w:val="24"/>
          <w:highlight w:val="none"/>
        </w:rPr>
      </w:pPr>
      <w:r>
        <w:rPr>
          <w:rFonts w:hint="eastAsia" w:ascii="宋体" w:hAnsi="宋体"/>
          <w:bCs/>
          <w:color w:val="auto"/>
          <w:sz w:val="24"/>
          <w:highlight w:val="none"/>
        </w:rPr>
        <w:t xml:space="preserve">                                        乙方账户信息</w:t>
      </w:r>
    </w:p>
    <w:p w14:paraId="364EF43C">
      <w:pPr>
        <w:widowControl/>
        <w:spacing w:line="560" w:lineRule="exact"/>
        <w:jc w:val="left"/>
        <w:rPr>
          <w:rFonts w:hint="eastAsia" w:ascii="宋体" w:hAnsi="宋体"/>
          <w:bCs/>
          <w:color w:val="auto"/>
          <w:sz w:val="24"/>
          <w:highlight w:val="none"/>
          <w:u w:val="single"/>
        </w:rPr>
      </w:pPr>
      <w:r>
        <w:rPr>
          <w:rFonts w:hint="eastAsia" w:ascii="宋体" w:hAnsi="宋体"/>
          <w:bCs/>
          <w:color w:val="auto"/>
          <w:sz w:val="24"/>
          <w:highlight w:val="none"/>
        </w:rPr>
        <w:t xml:space="preserve">                                        户名：</w:t>
      </w:r>
      <w:r>
        <w:rPr>
          <w:rFonts w:hint="eastAsia" w:ascii="宋体" w:hAnsi="宋体"/>
          <w:bCs/>
          <w:color w:val="auto"/>
          <w:sz w:val="24"/>
          <w:highlight w:val="none"/>
          <w:u w:val="single"/>
        </w:rPr>
        <w:t xml:space="preserve">                    </w:t>
      </w:r>
    </w:p>
    <w:p w14:paraId="14A995D2">
      <w:pPr>
        <w:widowControl/>
        <w:spacing w:line="560" w:lineRule="exact"/>
        <w:jc w:val="left"/>
        <w:rPr>
          <w:rFonts w:hint="eastAsia" w:ascii="宋体" w:hAnsi="宋体"/>
          <w:bCs/>
          <w:color w:val="auto"/>
          <w:sz w:val="24"/>
          <w:highlight w:val="none"/>
          <w:u w:val="single"/>
        </w:rPr>
      </w:pPr>
      <w:r>
        <w:rPr>
          <w:rFonts w:hint="eastAsia" w:ascii="宋体" w:hAnsi="宋体"/>
          <w:bCs/>
          <w:color w:val="auto"/>
          <w:sz w:val="24"/>
          <w:highlight w:val="none"/>
        </w:rPr>
        <w:t xml:space="preserve">                                        账号：</w:t>
      </w:r>
      <w:r>
        <w:rPr>
          <w:rFonts w:hint="eastAsia" w:ascii="宋体" w:hAnsi="宋体"/>
          <w:bCs/>
          <w:color w:val="auto"/>
          <w:sz w:val="24"/>
          <w:highlight w:val="none"/>
          <w:u w:val="single"/>
        </w:rPr>
        <w:t xml:space="preserve">                    </w:t>
      </w:r>
    </w:p>
    <w:p w14:paraId="0F1AFDA1">
      <w:pPr>
        <w:widowControl/>
        <w:spacing w:line="560" w:lineRule="exact"/>
        <w:jc w:val="left"/>
        <w:rPr>
          <w:rFonts w:hint="eastAsia" w:ascii="宋体" w:hAnsi="宋体"/>
          <w:bCs/>
          <w:color w:val="auto"/>
          <w:sz w:val="24"/>
          <w:highlight w:val="none"/>
          <w:u w:val="single"/>
        </w:rPr>
      </w:pPr>
      <w:r>
        <w:rPr>
          <w:rFonts w:hint="eastAsia" w:ascii="宋体" w:hAnsi="宋体"/>
          <w:bCs/>
          <w:color w:val="auto"/>
          <w:sz w:val="24"/>
          <w:highlight w:val="none"/>
        </w:rPr>
        <w:t xml:space="preserve">                                        开户银行：</w:t>
      </w:r>
      <w:r>
        <w:rPr>
          <w:rFonts w:hint="eastAsia" w:ascii="宋体" w:hAnsi="宋体"/>
          <w:bCs/>
          <w:color w:val="auto"/>
          <w:sz w:val="24"/>
          <w:highlight w:val="none"/>
          <w:u w:val="single"/>
        </w:rPr>
        <w:t xml:space="preserve">                </w:t>
      </w:r>
    </w:p>
    <w:p w14:paraId="57CB44E1">
      <w:pPr>
        <w:widowControl/>
        <w:jc w:val="left"/>
        <w:rPr>
          <w:rFonts w:hint="eastAsia" w:ascii="宋体" w:hAnsi="宋体"/>
          <w:b/>
          <w:color w:val="auto"/>
          <w:sz w:val="24"/>
          <w:highlight w:val="none"/>
        </w:rPr>
      </w:pPr>
      <w:r>
        <w:rPr>
          <w:rFonts w:ascii="宋体" w:hAnsi="宋体"/>
          <w:b/>
          <w:color w:val="auto"/>
          <w:sz w:val="24"/>
          <w:highlight w:val="none"/>
        </w:rPr>
        <w:br w:type="page"/>
      </w:r>
    </w:p>
    <w:p w14:paraId="36A27F54">
      <w:pPr>
        <w:spacing w:line="360" w:lineRule="auto"/>
        <w:jc w:val="center"/>
        <w:rPr>
          <w:rFonts w:hint="eastAsia" w:ascii="宋体" w:hAnsi="宋体"/>
          <w:b/>
          <w:color w:val="auto"/>
          <w:sz w:val="24"/>
          <w:highlight w:val="none"/>
        </w:rPr>
      </w:pPr>
      <w:r>
        <w:rPr>
          <w:rFonts w:hint="eastAsia" w:ascii="宋体" w:hAnsi="宋体"/>
          <w:b/>
          <w:color w:val="auto"/>
          <w:sz w:val="24"/>
          <w:highlight w:val="none"/>
        </w:rPr>
        <w:t>第二部分</w:t>
      </w:r>
      <w:r>
        <w:rPr>
          <w:rFonts w:ascii="宋体" w:hAnsi="宋体"/>
          <w:b/>
          <w:color w:val="auto"/>
          <w:sz w:val="24"/>
          <w:highlight w:val="none"/>
        </w:rPr>
        <w:t xml:space="preserve"> </w:t>
      </w:r>
      <w:r>
        <w:rPr>
          <w:rFonts w:hint="eastAsia" w:ascii="宋体" w:hAnsi="宋体"/>
          <w:b/>
          <w:color w:val="auto"/>
          <w:sz w:val="24"/>
          <w:highlight w:val="none"/>
        </w:rPr>
        <w:t>合同一般条款</w:t>
      </w:r>
      <w:bookmarkEnd w:id="71"/>
    </w:p>
    <w:p w14:paraId="34DED4EF">
      <w:pPr>
        <w:spacing w:line="360" w:lineRule="auto"/>
        <w:ind w:firstLine="437"/>
        <w:rPr>
          <w:rFonts w:hint="eastAsia" w:ascii="宋体" w:hAnsi="宋体"/>
          <w:b/>
          <w:bCs/>
          <w:color w:val="auto"/>
          <w:sz w:val="24"/>
          <w:highlight w:val="none"/>
          <w:lang w:val="zh-CN"/>
        </w:rPr>
      </w:pPr>
      <w:bookmarkStart w:id="72" w:name="_Ref467379101"/>
      <w:bookmarkStart w:id="73" w:name="_Toc19614"/>
      <w:bookmarkStart w:id="74" w:name="_Ref467379205"/>
      <w:bookmarkStart w:id="75" w:name="_Ref467378404"/>
      <w:bookmarkStart w:id="76" w:name="_Ref467378463"/>
      <w:bookmarkStart w:id="77" w:name="_Toc28763"/>
      <w:bookmarkStart w:id="78" w:name="_Toc487900349"/>
      <w:bookmarkStart w:id="79" w:name="_Ref467379195"/>
      <w:bookmarkStart w:id="80" w:name="_Toc16917"/>
      <w:bookmarkStart w:id="81" w:name="_Ref467379225"/>
      <w:bookmarkStart w:id="82" w:name="_Ref467379214"/>
      <w:bookmarkStart w:id="83" w:name="_Toc259093669"/>
      <w:bookmarkStart w:id="84" w:name="_Ref467379109"/>
      <w:bookmarkStart w:id="85" w:name="_Ref467379094"/>
      <w:bookmarkStart w:id="86" w:name="_Ref467378499"/>
      <w:bookmarkStart w:id="87" w:name="_Toc279701240"/>
      <w:r>
        <w:rPr>
          <w:rFonts w:hint="eastAsia" w:ascii="宋体" w:hAnsi="宋体"/>
          <w:b/>
          <w:bCs/>
          <w:color w:val="auto"/>
          <w:sz w:val="24"/>
          <w:highlight w:val="none"/>
          <w:lang w:val="zh-CN"/>
        </w:rPr>
        <w:t>2.1</w:t>
      </w:r>
      <w:r>
        <w:rPr>
          <w:rFonts w:ascii="宋体" w:hAnsi="宋体"/>
          <w:b/>
          <w:bCs/>
          <w:color w:val="auto"/>
          <w:sz w:val="24"/>
          <w:highlight w:val="none"/>
          <w:lang w:val="zh-CN"/>
        </w:rPr>
        <w:t xml:space="preserve"> 定义</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6A202228">
      <w:pPr>
        <w:spacing w:line="360" w:lineRule="auto"/>
        <w:ind w:firstLine="435"/>
        <w:rPr>
          <w:rFonts w:hint="eastAsia" w:ascii="宋体" w:hAnsi="宋体"/>
          <w:color w:val="auto"/>
          <w:sz w:val="24"/>
          <w:highlight w:val="none"/>
        </w:rPr>
      </w:pPr>
      <w:r>
        <w:rPr>
          <w:rFonts w:ascii="宋体" w:hAnsi="宋体"/>
          <w:color w:val="auto"/>
          <w:sz w:val="24"/>
          <w:highlight w:val="none"/>
        </w:rPr>
        <w:t>本合同中的下列</w:t>
      </w:r>
      <w:r>
        <w:rPr>
          <w:rFonts w:hint="eastAsia" w:ascii="宋体" w:hAnsi="宋体"/>
          <w:color w:val="auto"/>
          <w:sz w:val="24"/>
          <w:highlight w:val="none"/>
        </w:rPr>
        <w:t>词</w:t>
      </w:r>
      <w:r>
        <w:rPr>
          <w:rFonts w:ascii="宋体" w:hAnsi="宋体"/>
          <w:color w:val="auto"/>
          <w:sz w:val="24"/>
          <w:highlight w:val="none"/>
        </w:rPr>
        <w:t>语应</w:t>
      </w:r>
      <w:r>
        <w:rPr>
          <w:rFonts w:hint="eastAsia" w:ascii="宋体" w:hAnsi="宋体"/>
          <w:color w:val="auto"/>
          <w:sz w:val="24"/>
          <w:highlight w:val="none"/>
        </w:rPr>
        <w:t>按以下内容进行</w:t>
      </w:r>
      <w:r>
        <w:rPr>
          <w:rFonts w:ascii="宋体" w:hAnsi="宋体"/>
          <w:color w:val="auto"/>
          <w:sz w:val="24"/>
          <w:highlight w:val="none"/>
        </w:rPr>
        <w:t>解释：</w:t>
      </w:r>
    </w:p>
    <w:p w14:paraId="24F2B620">
      <w:pPr>
        <w:spacing w:line="360" w:lineRule="auto"/>
        <w:ind w:firstLine="435"/>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.1</w:t>
      </w:r>
      <w:r>
        <w:rPr>
          <w:rFonts w:hint="eastAsia" w:ascii="宋体" w:hAnsi="宋体"/>
          <w:color w:val="auto"/>
          <w:sz w:val="24"/>
          <w:highlight w:val="none"/>
        </w:rPr>
        <w:t>.1</w:t>
      </w:r>
      <w:r>
        <w:rPr>
          <w:rFonts w:ascii="宋体" w:hAnsi="宋体"/>
          <w:color w:val="auto"/>
          <w:sz w:val="24"/>
          <w:highlight w:val="none"/>
        </w:rPr>
        <w:t>“合同”系指采购人和成交供应商签订的载明双方当事人所达成的协议，并包括所有的附件、附录和构成合同的其他文件。</w:t>
      </w:r>
    </w:p>
    <w:p w14:paraId="077EDAD3">
      <w:pPr>
        <w:spacing w:line="360" w:lineRule="auto"/>
        <w:ind w:firstLine="435"/>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1.2“合同价”系指根据合同约定，成交供应商在完全履行合同义务后</w:t>
      </w:r>
      <w:r>
        <w:rPr>
          <w:rFonts w:hint="eastAsia" w:ascii="宋体" w:hAnsi="宋体"/>
          <w:color w:val="auto"/>
          <w:sz w:val="24"/>
          <w:highlight w:val="none"/>
        </w:rPr>
        <w:t>，</w:t>
      </w:r>
      <w:r>
        <w:rPr>
          <w:rFonts w:ascii="宋体" w:hAnsi="宋体"/>
          <w:color w:val="auto"/>
          <w:sz w:val="24"/>
          <w:highlight w:val="none"/>
        </w:rPr>
        <w:t>采购人应支付给成交供应商的价格。</w:t>
      </w:r>
    </w:p>
    <w:p w14:paraId="2341FA8D">
      <w:pPr>
        <w:spacing w:line="360" w:lineRule="auto"/>
        <w:ind w:firstLine="435"/>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1.3“</w:t>
      </w:r>
      <w:r>
        <w:rPr>
          <w:rFonts w:hint="eastAsia" w:ascii="宋体" w:hAnsi="宋体"/>
          <w:color w:val="auto"/>
          <w:sz w:val="24"/>
          <w:highlight w:val="none"/>
        </w:rPr>
        <w:t>服务</w:t>
      </w:r>
      <w:r>
        <w:rPr>
          <w:rFonts w:ascii="宋体" w:hAnsi="宋体"/>
          <w:color w:val="auto"/>
          <w:sz w:val="24"/>
          <w:highlight w:val="none"/>
        </w:rPr>
        <w:t>”系指</w:t>
      </w:r>
      <w:r>
        <w:rPr>
          <w:rFonts w:hint="eastAsia" w:ascii="宋体" w:hAnsi="宋体"/>
          <w:color w:val="auto"/>
          <w:sz w:val="24"/>
          <w:highlight w:val="none"/>
        </w:rPr>
        <w:t>成交供应商</w:t>
      </w:r>
      <w:r>
        <w:rPr>
          <w:rFonts w:ascii="宋体" w:hAnsi="宋体"/>
          <w:color w:val="auto"/>
          <w:sz w:val="24"/>
          <w:highlight w:val="none"/>
        </w:rPr>
        <w:t>根据合同约定应向采购人</w:t>
      </w:r>
      <w:r>
        <w:rPr>
          <w:rFonts w:hint="eastAsia" w:ascii="宋体" w:hAnsi="宋体"/>
          <w:color w:val="auto"/>
          <w:sz w:val="24"/>
          <w:highlight w:val="none"/>
        </w:rPr>
        <w:t>履行</w:t>
      </w:r>
      <w:r>
        <w:rPr>
          <w:rFonts w:ascii="宋体" w:hAnsi="宋体"/>
          <w:color w:val="auto"/>
          <w:sz w:val="24"/>
          <w:highlight w:val="none"/>
        </w:rPr>
        <w:t>的</w:t>
      </w:r>
      <w:r>
        <w:rPr>
          <w:rFonts w:hint="eastAsia" w:ascii="宋体" w:hAnsi="宋体"/>
          <w:color w:val="auto"/>
          <w:sz w:val="24"/>
          <w:highlight w:val="none"/>
        </w:rPr>
        <w:t>除货物和工程以外的其他政府采购对象，包括采购人自身需要的服务和向社会公众提供的公共服务。</w:t>
      </w:r>
    </w:p>
    <w:p w14:paraId="7987EBE1">
      <w:pPr>
        <w:spacing w:line="360" w:lineRule="auto"/>
        <w:ind w:firstLine="435"/>
        <w:rPr>
          <w:rFonts w:hint="eastAsia" w:ascii="宋体" w:hAnsi="宋体"/>
          <w:color w:val="auto"/>
          <w:sz w:val="24"/>
          <w:highlight w:val="none"/>
        </w:rPr>
      </w:pPr>
      <w:bookmarkStart w:id="88" w:name="_Ref467378840"/>
      <w:r>
        <w:rPr>
          <w:rFonts w:hint="eastAsia" w:ascii="宋体" w:hAnsi="宋体"/>
          <w:color w:val="auto"/>
          <w:sz w:val="24"/>
          <w:highlight w:val="none"/>
        </w:rPr>
        <w:t>2.</w:t>
      </w:r>
      <w:r>
        <w:rPr>
          <w:rFonts w:ascii="宋体" w:hAnsi="宋体"/>
          <w:color w:val="auto"/>
          <w:sz w:val="24"/>
          <w:highlight w:val="none"/>
        </w:rPr>
        <w:t>1.</w:t>
      </w: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甲方</w:t>
      </w:r>
      <w:r>
        <w:rPr>
          <w:rFonts w:ascii="宋体" w:hAnsi="宋体"/>
          <w:color w:val="auto"/>
          <w:sz w:val="24"/>
          <w:highlight w:val="none"/>
        </w:rPr>
        <w:t>”系指与</w:t>
      </w:r>
      <w:r>
        <w:rPr>
          <w:rFonts w:hint="eastAsia" w:ascii="宋体" w:hAnsi="宋体"/>
          <w:color w:val="auto"/>
          <w:sz w:val="24"/>
          <w:highlight w:val="none"/>
        </w:rPr>
        <w:t>成交供应商</w:t>
      </w:r>
      <w:r>
        <w:rPr>
          <w:rFonts w:ascii="宋体" w:hAnsi="宋体"/>
          <w:color w:val="auto"/>
          <w:sz w:val="24"/>
          <w:highlight w:val="none"/>
        </w:rPr>
        <w:t>签署合同的采购人</w:t>
      </w:r>
      <w:bookmarkEnd w:id="88"/>
      <w:r>
        <w:rPr>
          <w:rFonts w:hint="eastAsia" w:ascii="宋体" w:hAnsi="宋体"/>
          <w:color w:val="auto"/>
          <w:sz w:val="24"/>
          <w:highlight w:val="none"/>
        </w:rPr>
        <w:t>；采购人委托采购代理机构代表其与乙方签订合同的，采购人的授权委托书作为合同附件。</w:t>
      </w:r>
    </w:p>
    <w:p w14:paraId="051AC74F">
      <w:pPr>
        <w:spacing w:line="360" w:lineRule="auto"/>
        <w:ind w:firstLine="435"/>
        <w:rPr>
          <w:rFonts w:hint="eastAsia" w:ascii="宋体" w:hAnsi="宋体"/>
          <w:color w:val="auto"/>
          <w:sz w:val="24"/>
          <w:highlight w:val="none"/>
        </w:rPr>
      </w:pPr>
      <w:bookmarkStart w:id="89" w:name="_Ref467379400"/>
      <w:r>
        <w:rPr>
          <w:rFonts w:hint="eastAsia" w:ascii="宋体" w:hAnsi="宋体"/>
          <w:color w:val="auto"/>
          <w:sz w:val="24"/>
          <w:highlight w:val="none"/>
        </w:rPr>
        <w:t>2.</w:t>
      </w:r>
      <w:r>
        <w:rPr>
          <w:rFonts w:ascii="宋体" w:hAnsi="宋体"/>
          <w:color w:val="auto"/>
          <w:sz w:val="24"/>
          <w:highlight w:val="none"/>
        </w:rPr>
        <w:t>1.</w:t>
      </w:r>
      <w:r>
        <w:rPr>
          <w:rFonts w:hint="eastAsia" w:ascii="宋体" w:hAnsi="宋体"/>
          <w:color w:val="auto"/>
          <w:sz w:val="24"/>
          <w:highlight w:val="none"/>
        </w:rPr>
        <w:t>5</w:t>
      </w:r>
      <w:r>
        <w:rPr>
          <w:rFonts w:ascii="宋体" w:hAnsi="宋体"/>
          <w:color w:val="auto"/>
          <w:sz w:val="24"/>
          <w:highlight w:val="none"/>
        </w:rPr>
        <w:t>“乙方”系指根据合同约定</w:t>
      </w:r>
      <w:r>
        <w:rPr>
          <w:rFonts w:hint="eastAsia" w:ascii="宋体" w:hAnsi="宋体"/>
          <w:color w:val="auto"/>
          <w:sz w:val="24"/>
          <w:highlight w:val="none"/>
        </w:rPr>
        <w:t>提供服务</w:t>
      </w:r>
      <w:r>
        <w:rPr>
          <w:rFonts w:ascii="宋体" w:hAnsi="宋体"/>
          <w:color w:val="auto"/>
          <w:sz w:val="24"/>
          <w:highlight w:val="none"/>
        </w:rPr>
        <w:t>的成交供应商</w:t>
      </w:r>
      <w:bookmarkEnd w:id="89"/>
      <w:r>
        <w:rPr>
          <w:rFonts w:hint="eastAsia" w:ascii="宋体" w:hAnsi="宋体"/>
          <w:color w:val="auto"/>
          <w:sz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21702289">
      <w:pPr>
        <w:spacing w:line="360" w:lineRule="auto"/>
        <w:ind w:firstLine="435"/>
        <w:rPr>
          <w:rFonts w:hint="eastAsia" w:ascii="宋体" w:hAnsi="宋体"/>
          <w:color w:val="auto"/>
          <w:sz w:val="24"/>
          <w:highlight w:val="none"/>
        </w:rPr>
      </w:pPr>
      <w:bookmarkStart w:id="90" w:name="_Ref467379436"/>
      <w:r>
        <w:rPr>
          <w:rFonts w:hint="eastAsia" w:ascii="宋体" w:hAnsi="宋体"/>
          <w:color w:val="auto"/>
          <w:sz w:val="24"/>
          <w:highlight w:val="none"/>
        </w:rPr>
        <w:t>2.</w:t>
      </w:r>
      <w:r>
        <w:rPr>
          <w:rFonts w:ascii="宋体" w:hAnsi="宋体"/>
          <w:color w:val="auto"/>
          <w:sz w:val="24"/>
          <w:highlight w:val="none"/>
        </w:rPr>
        <w:t>1.</w:t>
      </w:r>
      <w:r>
        <w:rPr>
          <w:rFonts w:hint="eastAsia" w:ascii="宋体" w:hAnsi="宋体"/>
          <w:color w:val="auto"/>
          <w:sz w:val="24"/>
          <w:highlight w:val="none"/>
        </w:rPr>
        <w:t>6</w:t>
      </w:r>
      <w:r>
        <w:rPr>
          <w:rFonts w:ascii="宋体" w:hAnsi="宋体"/>
          <w:color w:val="auto"/>
          <w:sz w:val="24"/>
          <w:highlight w:val="none"/>
        </w:rPr>
        <w:t>“现场”系指合同约定</w:t>
      </w:r>
      <w:r>
        <w:rPr>
          <w:rFonts w:hint="eastAsia" w:ascii="宋体" w:hAnsi="宋体"/>
          <w:color w:val="auto"/>
          <w:sz w:val="24"/>
          <w:highlight w:val="none"/>
        </w:rPr>
        <w:t>提供服务</w:t>
      </w:r>
      <w:r>
        <w:rPr>
          <w:rFonts w:ascii="宋体" w:hAnsi="宋体"/>
          <w:color w:val="auto"/>
          <w:sz w:val="24"/>
          <w:highlight w:val="none"/>
        </w:rPr>
        <w:t>的地点。</w:t>
      </w:r>
      <w:bookmarkEnd w:id="90"/>
    </w:p>
    <w:p w14:paraId="0EB4C6DC">
      <w:pPr>
        <w:spacing w:line="360" w:lineRule="auto"/>
        <w:ind w:firstLine="437"/>
        <w:rPr>
          <w:rFonts w:hint="eastAsia" w:ascii="宋体" w:hAnsi="宋体"/>
          <w:b/>
          <w:bCs/>
          <w:color w:val="auto"/>
          <w:sz w:val="24"/>
          <w:highlight w:val="none"/>
          <w:lang w:val="zh-CN"/>
        </w:rPr>
      </w:pPr>
      <w:bookmarkStart w:id="91" w:name="_Toc279701241"/>
      <w:bookmarkStart w:id="92" w:name="_Toc32504"/>
      <w:bookmarkStart w:id="93" w:name="_Toc487900350"/>
      <w:bookmarkStart w:id="94" w:name="_Toc259093670"/>
      <w:bookmarkStart w:id="95" w:name="_Toc13336"/>
      <w:bookmarkStart w:id="96" w:name="_Toc27635"/>
      <w:r>
        <w:rPr>
          <w:rFonts w:hint="eastAsia" w:ascii="宋体" w:hAnsi="宋体"/>
          <w:b/>
          <w:bCs/>
          <w:color w:val="auto"/>
          <w:sz w:val="24"/>
          <w:highlight w:val="none"/>
          <w:lang w:val="zh-CN"/>
        </w:rPr>
        <w:t>2.</w:t>
      </w:r>
      <w:r>
        <w:rPr>
          <w:rFonts w:ascii="宋体" w:hAnsi="宋体"/>
          <w:b/>
          <w:bCs/>
          <w:color w:val="auto"/>
          <w:sz w:val="24"/>
          <w:highlight w:val="none"/>
          <w:lang w:val="zh-CN"/>
        </w:rPr>
        <w:t>2 技术规范</w:t>
      </w:r>
      <w:bookmarkEnd w:id="91"/>
      <w:bookmarkEnd w:id="92"/>
      <w:bookmarkEnd w:id="93"/>
      <w:bookmarkEnd w:id="94"/>
      <w:bookmarkEnd w:id="95"/>
      <w:bookmarkEnd w:id="96"/>
    </w:p>
    <w:p w14:paraId="16712FD4">
      <w:pPr>
        <w:spacing w:line="360" w:lineRule="auto"/>
        <w:ind w:firstLine="435"/>
        <w:rPr>
          <w:rFonts w:hint="eastAsia" w:ascii="宋体" w:hAnsi="宋体"/>
          <w:color w:val="auto"/>
          <w:sz w:val="24"/>
          <w:highlight w:val="none"/>
        </w:rPr>
      </w:pPr>
      <w:r>
        <w:rPr>
          <w:rFonts w:ascii="宋体" w:hAnsi="宋体"/>
          <w:color w:val="auto"/>
          <w:sz w:val="24"/>
          <w:highlight w:val="none"/>
        </w:rPr>
        <w:t>货物所应遵守的技术规范应与采购文件规定的技术规范和技术规范附件(如果有的话)及其技术规范偏差表(如果被甲方接受的话)相一致</w:t>
      </w:r>
      <w:r>
        <w:rPr>
          <w:rFonts w:hint="eastAsia" w:ascii="宋体" w:hAnsi="宋体"/>
          <w:color w:val="auto"/>
          <w:sz w:val="24"/>
          <w:highlight w:val="none"/>
        </w:rPr>
        <w:t>；</w:t>
      </w:r>
      <w:r>
        <w:rPr>
          <w:rFonts w:ascii="宋体" w:hAnsi="宋体"/>
          <w:color w:val="auto"/>
          <w:sz w:val="24"/>
          <w:highlight w:val="none"/>
        </w:rPr>
        <w:t>如果采购文件中没有技术规范的相应说明，那么应以国家有关部门最新颁布的相应标准</w:t>
      </w:r>
      <w:r>
        <w:rPr>
          <w:rFonts w:hint="eastAsia" w:ascii="宋体" w:hAnsi="宋体"/>
          <w:color w:val="auto"/>
          <w:sz w:val="24"/>
          <w:highlight w:val="none"/>
        </w:rPr>
        <w:t>和</w:t>
      </w:r>
      <w:r>
        <w:rPr>
          <w:rFonts w:ascii="宋体" w:hAnsi="宋体"/>
          <w:color w:val="auto"/>
          <w:sz w:val="24"/>
          <w:highlight w:val="none"/>
        </w:rPr>
        <w:t>规范为准。</w:t>
      </w:r>
    </w:p>
    <w:p w14:paraId="0E962B9A">
      <w:pPr>
        <w:spacing w:line="360" w:lineRule="auto"/>
        <w:ind w:firstLine="437"/>
        <w:rPr>
          <w:rFonts w:hint="eastAsia" w:ascii="宋体" w:hAnsi="宋体"/>
          <w:b/>
          <w:bCs/>
          <w:color w:val="auto"/>
          <w:sz w:val="24"/>
          <w:highlight w:val="none"/>
          <w:lang w:val="zh-CN"/>
        </w:rPr>
      </w:pPr>
      <w:bookmarkStart w:id="97" w:name="_Toc487900351"/>
      <w:bookmarkStart w:id="98" w:name="_Toc9829"/>
      <w:bookmarkStart w:id="99" w:name="_Toc259093671"/>
      <w:bookmarkStart w:id="100" w:name="_Toc27853"/>
      <w:bookmarkStart w:id="101" w:name="_Toc31634"/>
      <w:bookmarkStart w:id="102" w:name="_Toc279701242"/>
      <w:r>
        <w:rPr>
          <w:rFonts w:hint="eastAsia" w:ascii="宋体" w:hAnsi="宋体"/>
          <w:b/>
          <w:bCs/>
          <w:color w:val="auto"/>
          <w:sz w:val="24"/>
          <w:highlight w:val="none"/>
          <w:lang w:val="zh-CN"/>
        </w:rPr>
        <w:t>2.</w:t>
      </w:r>
      <w:r>
        <w:rPr>
          <w:rFonts w:ascii="宋体" w:hAnsi="宋体"/>
          <w:b/>
          <w:bCs/>
          <w:color w:val="auto"/>
          <w:sz w:val="24"/>
          <w:highlight w:val="none"/>
          <w:lang w:val="zh-CN"/>
        </w:rPr>
        <w:t>3 知识产权</w:t>
      </w:r>
      <w:bookmarkEnd w:id="97"/>
      <w:bookmarkEnd w:id="98"/>
      <w:bookmarkEnd w:id="99"/>
      <w:bookmarkEnd w:id="100"/>
      <w:bookmarkEnd w:id="101"/>
      <w:bookmarkEnd w:id="102"/>
    </w:p>
    <w:p w14:paraId="0F1861D9">
      <w:pPr>
        <w:spacing w:line="360" w:lineRule="auto"/>
        <w:ind w:firstLine="435"/>
        <w:rPr>
          <w:rFonts w:hint="eastAsia" w:ascii="宋体" w:hAnsi="宋体"/>
          <w:color w:val="auto"/>
          <w:sz w:val="24"/>
          <w:highlight w:val="none"/>
        </w:rPr>
      </w:pPr>
      <w:r>
        <w:rPr>
          <w:rFonts w:hint="eastAsia" w:ascii="宋体" w:hAnsi="宋体"/>
          <w:color w:val="auto"/>
          <w:sz w:val="24"/>
          <w:highlight w:val="none"/>
        </w:rPr>
        <w:t>2.3.1乙</w:t>
      </w:r>
      <w:r>
        <w:rPr>
          <w:rFonts w:ascii="宋体" w:hAnsi="宋体"/>
          <w:color w:val="auto"/>
          <w:sz w:val="24"/>
          <w:highlight w:val="none"/>
        </w:rPr>
        <w:t>方应保证</w:t>
      </w:r>
      <w:r>
        <w:rPr>
          <w:rFonts w:hint="eastAsia" w:ascii="宋体" w:hAnsi="宋体"/>
          <w:color w:val="auto"/>
          <w:sz w:val="24"/>
          <w:highlight w:val="none"/>
        </w:rPr>
        <w:t>其提供的服务</w:t>
      </w:r>
      <w:r>
        <w:rPr>
          <w:rFonts w:ascii="宋体" w:hAnsi="宋体"/>
          <w:color w:val="auto"/>
          <w:sz w:val="24"/>
          <w:highlight w:val="none"/>
        </w:rPr>
        <w:t>不受任何第三方提出的侵犯其著作权、商标权、专利权等知识产权方面的起诉</w:t>
      </w:r>
      <w:r>
        <w:rPr>
          <w:rFonts w:hint="eastAsia" w:ascii="宋体" w:hAnsi="宋体"/>
          <w:color w:val="auto"/>
          <w:sz w:val="24"/>
          <w:highlight w:val="none"/>
        </w:rPr>
        <w:t>；</w:t>
      </w:r>
      <w:r>
        <w:rPr>
          <w:rFonts w:ascii="宋体" w:hAnsi="宋体"/>
          <w:color w:val="auto"/>
          <w:sz w:val="24"/>
          <w:highlight w:val="none"/>
        </w:rPr>
        <w:t>如果任何第三方提出侵权</w:t>
      </w:r>
      <w:r>
        <w:rPr>
          <w:rFonts w:hint="eastAsia" w:ascii="宋体" w:hAnsi="宋体"/>
          <w:color w:val="auto"/>
          <w:sz w:val="24"/>
          <w:highlight w:val="none"/>
        </w:rPr>
        <w:t>指控</w:t>
      </w:r>
      <w:r>
        <w:rPr>
          <w:rFonts w:ascii="宋体" w:hAnsi="宋体"/>
          <w:color w:val="auto"/>
          <w:sz w:val="24"/>
          <w:highlight w:val="none"/>
        </w:rPr>
        <w:t>，那么乙方须与该第三方交涉并承担由此发生的一切责任、费用和赔偿</w:t>
      </w:r>
      <w:r>
        <w:rPr>
          <w:rFonts w:hint="eastAsia" w:ascii="宋体" w:hAnsi="宋体"/>
          <w:color w:val="auto"/>
          <w:sz w:val="24"/>
          <w:highlight w:val="none"/>
        </w:rPr>
        <w:t>；</w:t>
      </w:r>
    </w:p>
    <w:p w14:paraId="71B4BF8F">
      <w:pPr>
        <w:spacing w:line="360" w:lineRule="auto"/>
        <w:ind w:firstLine="435"/>
        <w:rPr>
          <w:rFonts w:hint="eastAsia" w:ascii="宋体" w:hAnsi="宋体"/>
          <w:color w:val="auto"/>
          <w:sz w:val="24"/>
          <w:highlight w:val="none"/>
        </w:rPr>
      </w:pPr>
      <w:r>
        <w:rPr>
          <w:rFonts w:hint="eastAsia" w:ascii="宋体" w:hAnsi="宋体"/>
          <w:color w:val="auto"/>
          <w:sz w:val="24"/>
          <w:highlight w:val="none"/>
        </w:rPr>
        <w:t>2.3.2具有知识产权的计算机软件等货物的知识产权归属，</w:t>
      </w:r>
      <w:r>
        <w:rPr>
          <w:rFonts w:ascii="宋体" w:hAnsi="宋体"/>
          <w:color w:val="auto"/>
          <w:sz w:val="24"/>
          <w:highlight w:val="none"/>
        </w:rPr>
        <w:t>详见</w:t>
      </w:r>
      <w:r>
        <w:rPr>
          <w:rFonts w:ascii="宋体" w:hAnsi="宋体"/>
          <w:b/>
          <w:i/>
          <w:color w:val="auto"/>
          <w:sz w:val="24"/>
          <w:highlight w:val="none"/>
          <w:u w:val="single"/>
        </w:rPr>
        <w:t>合同专用条款</w:t>
      </w:r>
      <w:r>
        <w:rPr>
          <w:rFonts w:ascii="宋体" w:hAnsi="宋体"/>
          <w:color w:val="auto"/>
          <w:sz w:val="24"/>
          <w:highlight w:val="none"/>
        </w:rPr>
        <w:t>。</w:t>
      </w:r>
    </w:p>
    <w:p w14:paraId="2237C0BA">
      <w:pPr>
        <w:spacing w:line="360" w:lineRule="auto"/>
        <w:ind w:firstLine="437"/>
        <w:rPr>
          <w:rFonts w:hint="eastAsia" w:ascii="宋体" w:hAnsi="宋体"/>
          <w:b/>
          <w:bCs/>
          <w:color w:val="auto"/>
          <w:sz w:val="24"/>
          <w:highlight w:val="none"/>
          <w:lang w:val="zh-CN"/>
        </w:rPr>
      </w:pPr>
      <w:bookmarkStart w:id="103" w:name="_Ref467379527"/>
      <w:bookmarkStart w:id="104" w:name="_Ref467378591"/>
      <w:bookmarkStart w:id="105" w:name="_Ref467379536"/>
      <w:bookmarkStart w:id="106" w:name="_Toc259093674"/>
      <w:bookmarkStart w:id="107" w:name="_Toc279701245"/>
      <w:bookmarkStart w:id="108" w:name="_Ref467378541"/>
      <w:bookmarkStart w:id="109" w:name="_Ref467379542"/>
      <w:bookmarkStart w:id="110" w:name="_Toc487900354"/>
      <w:bookmarkStart w:id="111" w:name="_Toc30272"/>
      <w:bookmarkStart w:id="112" w:name="_Toc26182"/>
      <w:bookmarkStart w:id="113" w:name="_Toc19074"/>
      <w:r>
        <w:rPr>
          <w:rFonts w:hint="eastAsia" w:ascii="宋体" w:hAnsi="宋体"/>
          <w:b/>
          <w:bCs/>
          <w:color w:val="auto"/>
          <w:sz w:val="24"/>
          <w:highlight w:val="none"/>
          <w:lang w:val="zh-CN"/>
        </w:rPr>
        <w:t>2.</w:t>
      </w:r>
      <w:bookmarkEnd w:id="103"/>
      <w:bookmarkEnd w:id="104"/>
      <w:bookmarkEnd w:id="105"/>
      <w:bookmarkEnd w:id="106"/>
      <w:bookmarkEnd w:id="107"/>
      <w:bookmarkEnd w:id="108"/>
      <w:bookmarkEnd w:id="109"/>
      <w:bookmarkEnd w:id="110"/>
      <w:r>
        <w:rPr>
          <w:rFonts w:ascii="宋体" w:hAnsi="宋体"/>
          <w:b/>
          <w:bCs/>
          <w:color w:val="auto"/>
          <w:sz w:val="24"/>
          <w:highlight w:val="none"/>
          <w:lang w:val="zh-CN"/>
        </w:rPr>
        <w:t xml:space="preserve">4 </w:t>
      </w:r>
      <w:r>
        <w:rPr>
          <w:rFonts w:hint="eastAsia" w:ascii="宋体" w:hAnsi="宋体"/>
          <w:b/>
          <w:bCs/>
          <w:color w:val="auto"/>
          <w:sz w:val="24"/>
          <w:highlight w:val="none"/>
          <w:lang w:val="zh-CN"/>
        </w:rPr>
        <w:t>履约检查和问题反馈</w:t>
      </w:r>
      <w:bookmarkEnd w:id="111"/>
      <w:bookmarkEnd w:id="112"/>
      <w:bookmarkEnd w:id="113"/>
    </w:p>
    <w:p w14:paraId="5FFF3620">
      <w:pPr>
        <w:spacing w:line="360" w:lineRule="auto"/>
        <w:ind w:firstLine="435"/>
        <w:rPr>
          <w:rFonts w:hint="eastAsia" w:ascii="宋体" w:hAnsi="宋体"/>
          <w:color w:val="auto"/>
          <w:sz w:val="24"/>
          <w:highlight w:val="none"/>
        </w:rPr>
      </w:pPr>
      <w:bookmarkStart w:id="114" w:name="_Toc186431854"/>
      <w:bookmarkStart w:id="115" w:name="_Toc279701247"/>
      <w:bookmarkStart w:id="116" w:name="_Toc259093676"/>
      <w:bookmarkStart w:id="117" w:name="_Toc487900357"/>
      <w:bookmarkStart w:id="118" w:name="_Ref467379807"/>
      <w:bookmarkStart w:id="119" w:name="_Ref467379793"/>
      <w:r>
        <w:rPr>
          <w:rFonts w:hint="eastAsia" w:ascii="宋体" w:hAnsi="宋体"/>
          <w:color w:val="auto"/>
          <w:sz w:val="24"/>
          <w:highlight w:val="none"/>
        </w:rPr>
        <w:t>2.4</w:t>
      </w:r>
      <w:r>
        <w:rPr>
          <w:rFonts w:ascii="宋体" w:hAnsi="宋体"/>
          <w:color w:val="auto"/>
          <w:sz w:val="24"/>
          <w:highlight w:val="none"/>
        </w:rPr>
        <w:t>.1甲方</w:t>
      </w:r>
      <w:r>
        <w:rPr>
          <w:rFonts w:hint="eastAsia" w:ascii="宋体" w:hAnsi="宋体"/>
          <w:color w:val="auto"/>
          <w:sz w:val="24"/>
          <w:highlight w:val="none"/>
        </w:rPr>
        <w:t>有权</w:t>
      </w:r>
      <w:r>
        <w:rPr>
          <w:rFonts w:ascii="宋体" w:hAnsi="宋体"/>
          <w:color w:val="auto"/>
          <w:sz w:val="24"/>
          <w:highlight w:val="none"/>
        </w:rPr>
        <w:t>在其认为必要时</w:t>
      </w:r>
      <w:r>
        <w:rPr>
          <w:rFonts w:hint="eastAsia" w:ascii="宋体" w:hAnsi="宋体"/>
          <w:color w:val="auto"/>
          <w:sz w:val="24"/>
          <w:highlight w:val="none"/>
        </w:rPr>
        <w:t>，对乙方是否能够按照合同约定提供服务进行履约检查，以确保乙方所提供的服务能够依约满足甲方项目需求，但不得因履约检查妨碍乙方的正常工作，乙方应予积极配合；</w:t>
      </w:r>
    </w:p>
    <w:p w14:paraId="7C03F3E7">
      <w:pPr>
        <w:spacing w:line="360" w:lineRule="auto"/>
        <w:ind w:firstLine="435"/>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4</w:t>
      </w:r>
      <w:r>
        <w:rPr>
          <w:rFonts w:hint="eastAsia" w:ascii="宋体" w:hAnsi="宋体"/>
          <w:color w:val="auto"/>
          <w:sz w:val="24"/>
          <w:highlight w:val="none"/>
        </w:rPr>
        <w:t>.2合同履行期间，甲方有权将履行过程中出现的问题反馈给乙方，双方当事人应以书面形式约定需要完善和改进的内容</w:t>
      </w:r>
      <w:bookmarkEnd w:id="114"/>
      <w:bookmarkStart w:id="120" w:name="_Toc186431855"/>
      <w:r>
        <w:rPr>
          <w:rFonts w:hint="eastAsia" w:ascii="宋体" w:hAnsi="宋体"/>
          <w:color w:val="auto"/>
          <w:sz w:val="24"/>
          <w:highlight w:val="none"/>
        </w:rPr>
        <w:t>。</w:t>
      </w:r>
    </w:p>
    <w:bookmarkEnd w:id="120"/>
    <w:p w14:paraId="47DEE210">
      <w:pPr>
        <w:spacing w:line="360" w:lineRule="auto"/>
        <w:ind w:firstLine="437"/>
        <w:rPr>
          <w:rFonts w:hint="eastAsia" w:ascii="宋体" w:hAnsi="宋体"/>
          <w:b/>
          <w:bCs/>
          <w:color w:val="auto"/>
          <w:sz w:val="24"/>
          <w:highlight w:val="none"/>
          <w:lang w:val="zh-CN"/>
        </w:rPr>
      </w:pPr>
      <w:bookmarkStart w:id="121" w:name="_Toc28451"/>
      <w:bookmarkStart w:id="122" w:name="_Toc7836"/>
      <w:bookmarkStart w:id="123" w:name="_Toc19219"/>
      <w:r>
        <w:rPr>
          <w:rFonts w:hint="eastAsia" w:ascii="宋体" w:hAnsi="宋体"/>
          <w:b/>
          <w:bCs/>
          <w:color w:val="auto"/>
          <w:sz w:val="24"/>
          <w:highlight w:val="none"/>
          <w:lang w:val="zh-CN"/>
        </w:rPr>
        <w:t>2.</w:t>
      </w:r>
      <w:r>
        <w:rPr>
          <w:rFonts w:ascii="宋体" w:hAnsi="宋体"/>
          <w:b/>
          <w:bCs/>
          <w:color w:val="auto"/>
          <w:sz w:val="24"/>
          <w:highlight w:val="none"/>
          <w:lang w:val="zh-CN"/>
        </w:rPr>
        <w:t>5</w:t>
      </w:r>
      <w:r>
        <w:rPr>
          <w:rFonts w:hint="eastAsia" w:ascii="宋体" w:hAnsi="宋体"/>
          <w:b/>
          <w:bCs/>
          <w:color w:val="auto"/>
          <w:sz w:val="24"/>
          <w:highlight w:val="none"/>
          <w:lang w:val="zh-CN"/>
        </w:rPr>
        <w:t xml:space="preserve"> </w:t>
      </w:r>
      <w:r>
        <w:rPr>
          <w:rFonts w:ascii="宋体" w:hAnsi="宋体"/>
          <w:b/>
          <w:bCs/>
          <w:color w:val="auto"/>
          <w:sz w:val="24"/>
          <w:highlight w:val="none"/>
          <w:lang w:val="zh-CN"/>
        </w:rPr>
        <w:t>结算方式和付款条件</w:t>
      </w:r>
      <w:bookmarkEnd w:id="115"/>
      <w:bookmarkEnd w:id="116"/>
      <w:bookmarkEnd w:id="117"/>
      <w:bookmarkEnd w:id="118"/>
      <w:bookmarkEnd w:id="119"/>
      <w:bookmarkEnd w:id="121"/>
      <w:bookmarkEnd w:id="122"/>
      <w:bookmarkEnd w:id="123"/>
    </w:p>
    <w:p w14:paraId="24166BD6">
      <w:pPr>
        <w:spacing w:line="360" w:lineRule="auto"/>
        <w:ind w:firstLine="435"/>
        <w:rPr>
          <w:rFonts w:hint="eastAsia" w:ascii="宋体" w:hAnsi="宋体"/>
          <w:color w:val="auto"/>
          <w:sz w:val="24"/>
          <w:highlight w:val="none"/>
        </w:rPr>
      </w:pPr>
      <w:r>
        <w:rPr>
          <w:rFonts w:ascii="宋体" w:hAnsi="宋体"/>
          <w:color w:val="auto"/>
          <w:sz w:val="24"/>
          <w:highlight w:val="none"/>
        </w:rPr>
        <w:t>详见</w:t>
      </w:r>
      <w:r>
        <w:rPr>
          <w:rFonts w:ascii="宋体" w:hAnsi="宋体"/>
          <w:b/>
          <w:i/>
          <w:color w:val="auto"/>
          <w:sz w:val="24"/>
          <w:highlight w:val="none"/>
          <w:u w:val="single"/>
        </w:rPr>
        <w:t>合同专用条款</w:t>
      </w:r>
      <w:r>
        <w:rPr>
          <w:rFonts w:ascii="宋体" w:hAnsi="宋体"/>
          <w:color w:val="auto"/>
          <w:sz w:val="24"/>
          <w:highlight w:val="none"/>
        </w:rPr>
        <w:t>。</w:t>
      </w:r>
    </w:p>
    <w:p w14:paraId="21093D71">
      <w:pPr>
        <w:spacing w:line="360" w:lineRule="auto"/>
        <w:ind w:firstLine="437"/>
        <w:rPr>
          <w:rFonts w:hint="eastAsia" w:ascii="宋体" w:hAnsi="宋体"/>
          <w:b/>
          <w:bCs/>
          <w:color w:val="auto"/>
          <w:sz w:val="24"/>
          <w:highlight w:val="none"/>
          <w:lang w:val="zh-CN"/>
        </w:rPr>
      </w:pPr>
      <w:bookmarkStart w:id="124" w:name="_Toc279701248"/>
      <w:bookmarkStart w:id="125" w:name="_Toc487900358"/>
      <w:bookmarkStart w:id="126" w:name="_Ref467379863"/>
      <w:bookmarkStart w:id="127" w:name="_Toc259093677"/>
      <w:bookmarkStart w:id="128" w:name="_Ref467379923"/>
      <w:bookmarkStart w:id="129" w:name="_Ref467379852"/>
      <w:bookmarkStart w:id="130" w:name="_Toc16110"/>
      <w:bookmarkStart w:id="131" w:name="_Toc774"/>
      <w:bookmarkStart w:id="132" w:name="_Toc3225"/>
      <w:r>
        <w:rPr>
          <w:rFonts w:hint="eastAsia" w:ascii="宋体" w:hAnsi="宋体"/>
          <w:b/>
          <w:bCs/>
          <w:color w:val="auto"/>
          <w:sz w:val="24"/>
          <w:highlight w:val="none"/>
          <w:lang w:val="zh-CN"/>
        </w:rPr>
        <w:t>2.</w:t>
      </w:r>
      <w:r>
        <w:rPr>
          <w:rFonts w:ascii="宋体" w:hAnsi="宋体"/>
          <w:b/>
          <w:bCs/>
          <w:color w:val="auto"/>
          <w:sz w:val="24"/>
          <w:highlight w:val="none"/>
          <w:lang w:val="zh-CN"/>
        </w:rPr>
        <w:t>6</w:t>
      </w:r>
      <w:r>
        <w:rPr>
          <w:rFonts w:hint="eastAsia" w:ascii="宋体" w:hAnsi="宋体"/>
          <w:b/>
          <w:bCs/>
          <w:color w:val="auto"/>
          <w:sz w:val="24"/>
          <w:highlight w:val="none"/>
          <w:lang w:val="zh-CN"/>
        </w:rPr>
        <w:t xml:space="preserve"> </w:t>
      </w:r>
      <w:r>
        <w:rPr>
          <w:rFonts w:ascii="宋体" w:hAnsi="宋体"/>
          <w:b/>
          <w:bCs/>
          <w:color w:val="auto"/>
          <w:sz w:val="24"/>
          <w:highlight w:val="none"/>
          <w:lang w:val="zh-CN"/>
        </w:rPr>
        <w:t>技术资料</w:t>
      </w:r>
      <w:bookmarkEnd w:id="124"/>
      <w:bookmarkEnd w:id="125"/>
      <w:bookmarkEnd w:id="126"/>
      <w:bookmarkEnd w:id="127"/>
      <w:bookmarkEnd w:id="128"/>
      <w:bookmarkEnd w:id="129"/>
      <w:r>
        <w:rPr>
          <w:rFonts w:ascii="宋体" w:hAnsi="宋体"/>
          <w:b/>
          <w:bCs/>
          <w:color w:val="auto"/>
          <w:sz w:val="24"/>
          <w:highlight w:val="none"/>
          <w:lang w:val="zh-CN"/>
        </w:rPr>
        <w:t>和保密义务</w:t>
      </w:r>
      <w:bookmarkEnd w:id="130"/>
      <w:bookmarkEnd w:id="131"/>
      <w:bookmarkEnd w:id="132"/>
    </w:p>
    <w:p w14:paraId="0BE916CF">
      <w:pPr>
        <w:spacing w:line="360" w:lineRule="auto"/>
        <w:ind w:firstLine="435"/>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6.1</w:t>
      </w:r>
      <w:r>
        <w:rPr>
          <w:rFonts w:hint="eastAsia" w:ascii="宋体" w:hAnsi="宋体"/>
          <w:color w:val="auto"/>
          <w:sz w:val="24"/>
          <w:highlight w:val="none"/>
        </w:rPr>
        <w:t>乙方有权依据合同约定和项目需要，向甲方了解有关情况，调阅有关资料等，甲方应予积极配合；</w:t>
      </w:r>
    </w:p>
    <w:p w14:paraId="3B88A555">
      <w:pPr>
        <w:spacing w:line="360" w:lineRule="auto"/>
        <w:ind w:firstLine="435"/>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6</w:t>
      </w:r>
      <w:r>
        <w:rPr>
          <w:rFonts w:hint="eastAsia" w:ascii="宋体" w:hAnsi="宋体"/>
          <w:color w:val="auto"/>
          <w:sz w:val="24"/>
          <w:highlight w:val="none"/>
        </w:rPr>
        <w:t>.2乙方有义务妥善保管和保护由甲方提供的前款信息和资料等；</w:t>
      </w:r>
    </w:p>
    <w:p w14:paraId="0631AE3F">
      <w:pPr>
        <w:spacing w:line="360" w:lineRule="auto"/>
        <w:ind w:firstLine="435"/>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6.</w:t>
      </w:r>
      <w:r>
        <w:rPr>
          <w:rFonts w:hint="eastAsia" w:ascii="宋体" w:hAnsi="宋体"/>
          <w:color w:val="auto"/>
          <w:sz w:val="24"/>
          <w:highlight w:val="none"/>
        </w:rPr>
        <w:t>3除非依照法律规定或者对方当事人的书面同意，任何一方均应保证不向任何第三方提供或披露有关合同的或者履行合同过程中知悉的对方当事人任何未公开的信息和资料，包括但不限于</w:t>
      </w:r>
      <w:r>
        <w:rPr>
          <w:rFonts w:ascii="宋体" w:hAnsi="宋体"/>
          <w:color w:val="auto"/>
          <w:sz w:val="24"/>
          <w:highlight w:val="none"/>
        </w:rPr>
        <w:t>技术情报</w:t>
      </w:r>
      <w:r>
        <w:rPr>
          <w:rFonts w:hint="eastAsia" w:ascii="宋体" w:hAnsi="宋体"/>
          <w:color w:val="auto"/>
          <w:sz w:val="24"/>
          <w:highlight w:val="none"/>
        </w:rPr>
        <w:t>、</w:t>
      </w:r>
      <w:r>
        <w:rPr>
          <w:rFonts w:ascii="宋体" w:hAnsi="宋体"/>
          <w:color w:val="auto"/>
          <w:sz w:val="24"/>
          <w:highlight w:val="none"/>
        </w:rPr>
        <w:t>技术资料</w:t>
      </w:r>
      <w:r>
        <w:rPr>
          <w:rFonts w:hint="eastAsia" w:ascii="宋体" w:hAnsi="宋体"/>
          <w:color w:val="auto"/>
          <w:sz w:val="24"/>
          <w:highlight w:val="none"/>
        </w:rPr>
        <w:t>、商业秘密和商业信息等，并采取一切合理和必要措施和方式防止任何第三方接触到对方当事人的上述保密信息和资料。</w:t>
      </w:r>
    </w:p>
    <w:p w14:paraId="09CE1B30">
      <w:pPr>
        <w:spacing w:line="360" w:lineRule="auto"/>
        <w:ind w:firstLine="437"/>
        <w:rPr>
          <w:rFonts w:hint="eastAsia" w:ascii="宋体" w:hAnsi="宋体"/>
          <w:b/>
          <w:bCs/>
          <w:color w:val="auto"/>
          <w:sz w:val="24"/>
          <w:highlight w:val="none"/>
          <w:lang w:val="zh-CN"/>
        </w:rPr>
      </w:pPr>
      <w:bookmarkStart w:id="133" w:name="_Toc7860"/>
      <w:r>
        <w:rPr>
          <w:rFonts w:ascii="宋体" w:hAnsi="宋体"/>
          <w:b/>
          <w:bCs/>
          <w:color w:val="auto"/>
          <w:sz w:val="24"/>
          <w:highlight w:val="none"/>
          <w:lang w:val="zh-CN"/>
        </w:rPr>
        <w:t>2.7 质量保证</w:t>
      </w:r>
      <w:bookmarkEnd w:id="133"/>
    </w:p>
    <w:p w14:paraId="5CDBA863">
      <w:pPr>
        <w:spacing w:line="360" w:lineRule="auto"/>
        <w:ind w:firstLine="435"/>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7</w:t>
      </w:r>
      <w:r>
        <w:rPr>
          <w:rFonts w:hint="eastAsia" w:ascii="宋体" w:hAnsi="宋体"/>
          <w:color w:val="auto"/>
          <w:sz w:val="24"/>
          <w:highlight w:val="none"/>
        </w:rPr>
        <w:t>.1乙方应建立和完善履行合同的内部质量保证体系，并提供相关内部规章制度给甲方，以便甲方进行监督检查；</w:t>
      </w:r>
    </w:p>
    <w:p w14:paraId="46B33E2B">
      <w:pPr>
        <w:spacing w:line="360" w:lineRule="auto"/>
        <w:ind w:firstLine="435"/>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7</w:t>
      </w:r>
      <w:r>
        <w:rPr>
          <w:rFonts w:hint="eastAsia" w:ascii="宋体" w:hAnsi="宋体"/>
          <w:color w:val="auto"/>
          <w:sz w:val="24"/>
          <w:highlight w:val="none"/>
        </w:rPr>
        <w:t>.2乙方应保证履行合同的人员数量和素质、软件和硬件设备的配置、场地、环境和设施等满足全面履行合同的要求，并应接受甲方的监督检查。</w:t>
      </w:r>
    </w:p>
    <w:p w14:paraId="3BBAFD36">
      <w:pPr>
        <w:spacing w:line="360" w:lineRule="auto"/>
        <w:ind w:firstLine="437"/>
        <w:rPr>
          <w:rFonts w:hint="eastAsia" w:ascii="宋体" w:hAnsi="宋体"/>
          <w:b/>
          <w:color w:val="auto"/>
          <w:sz w:val="24"/>
          <w:highlight w:val="none"/>
        </w:rPr>
      </w:pPr>
      <w:bookmarkStart w:id="134" w:name="_Toc22267"/>
      <w:r>
        <w:rPr>
          <w:rFonts w:hint="eastAsia" w:ascii="宋体" w:hAnsi="宋体"/>
          <w:b/>
          <w:color w:val="auto"/>
          <w:sz w:val="24"/>
          <w:highlight w:val="none"/>
        </w:rPr>
        <w:t>2.8 延迟履行</w:t>
      </w:r>
      <w:bookmarkEnd w:id="134"/>
    </w:p>
    <w:p w14:paraId="49F8FFC5">
      <w:pPr>
        <w:spacing w:line="360" w:lineRule="auto"/>
        <w:ind w:firstLine="435"/>
        <w:rPr>
          <w:rFonts w:hint="eastAsia" w:ascii="宋体" w:hAnsi="宋体"/>
          <w:color w:val="auto"/>
          <w:sz w:val="24"/>
          <w:highlight w:val="none"/>
        </w:rPr>
      </w:pPr>
      <w:r>
        <w:rPr>
          <w:rFonts w:ascii="宋体" w:hAnsi="宋体"/>
          <w:color w:val="auto"/>
          <w:sz w:val="24"/>
          <w:highlight w:val="none"/>
        </w:rPr>
        <w:t>在合同履行过程中，如果乙方遇到不能按时</w:t>
      </w:r>
      <w:r>
        <w:rPr>
          <w:rFonts w:hint="eastAsia" w:ascii="宋体" w:hAnsi="宋体"/>
          <w:color w:val="auto"/>
          <w:sz w:val="24"/>
          <w:highlight w:val="none"/>
        </w:rPr>
        <w:t>提供服务</w:t>
      </w:r>
      <w:r>
        <w:rPr>
          <w:rFonts w:ascii="宋体" w:hAnsi="宋体"/>
          <w:color w:val="auto"/>
          <w:sz w:val="24"/>
          <w:highlight w:val="none"/>
        </w:rPr>
        <w:t>的情况，应及时以书面形式将不能按时</w:t>
      </w:r>
      <w:r>
        <w:rPr>
          <w:rFonts w:hint="eastAsia" w:ascii="宋体" w:hAnsi="宋体"/>
          <w:color w:val="auto"/>
          <w:sz w:val="24"/>
          <w:highlight w:val="none"/>
        </w:rPr>
        <w:t>提供服务</w:t>
      </w:r>
      <w:r>
        <w:rPr>
          <w:rFonts w:ascii="宋体" w:hAnsi="宋体"/>
          <w:color w:val="auto"/>
          <w:sz w:val="24"/>
          <w:highlight w:val="none"/>
        </w:rPr>
        <w:t>的理由、预期延误时间通知甲方</w:t>
      </w:r>
      <w:r>
        <w:rPr>
          <w:rFonts w:hint="eastAsia" w:ascii="宋体" w:hAnsi="宋体"/>
          <w:color w:val="auto"/>
          <w:sz w:val="24"/>
          <w:highlight w:val="none"/>
        </w:rPr>
        <w:t>；甲</w:t>
      </w:r>
      <w:r>
        <w:rPr>
          <w:rFonts w:ascii="宋体" w:hAnsi="宋体"/>
          <w:color w:val="auto"/>
          <w:sz w:val="24"/>
          <w:highlight w:val="none"/>
        </w:rPr>
        <w:t>方收到乙方通知后，认为其理由正当的，可以书面形式酌情同意乙方可以延长</w:t>
      </w:r>
      <w:r>
        <w:rPr>
          <w:rFonts w:hint="eastAsia" w:ascii="宋体" w:hAnsi="宋体"/>
          <w:color w:val="auto"/>
          <w:sz w:val="24"/>
          <w:highlight w:val="none"/>
        </w:rPr>
        <w:t>履行</w:t>
      </w:r>
      <w:r>
        <w:rPr>
          <w:rFonts w:ascii="宋体" w:hAnsi="宋体"/>
          <w:color w:val="auto"/>
          <w:sz w:val="24"/>
          <w:highlight w:val="none"/>
        </w:rPr>
        <w:t>的具体时间。</w:t>
      </w:r>
    </w:p>
    <w:p w14:paraId="01D28E0E">
      <w:pPr>
        <w:spacing w:line="360" w:lineRule="auto"/>
        <w:ind w:firstLine="437"/>
        <w:rPr>
          <w:rFonts w:hint="eastAsia" w:ascii="宋体" w:hAnsi="宋体"/>
          <w:b/>
          <w:bCs/>
          <w:color w:val="auto"/>
          <w:sz w:val="24"/>
          <w:highlight w:val="none"/>
          <w:lang w:val="zh-CN"/>
        </w:rPr>
      </w:pPr>
      <w:bookmarkStart w:id="135" w:name="_Toc7502"/>
      <w:bookmarkStart w:id="136" w:name="_Ref467378121"/>
      <w:bookmarkStart w:id="137" w:name="_Toc259093683"/>
      <w:bookmarkStart w:id="138" w:name="_Toc279701254"/>
      <w:bookmarkStart w:id="139" w:name="_Toc487900364"/>
      <w:r>
        <w:rPr>
          <w:rFonts w:ascii="宋体" w:hAnsi="宋体"/>
          <w:b/>
          <w:bCs/>
          <w:color w:val="auto"/>
          <w:sz w:val="24"/>
          <w:highlight w:val="none"/>
          <w:lang w:val="zh-CN"/>
        </w:rPr>
        <w:t>2.9 合同变更</w:t>
      </w:r>
      <w:bookmarkEnd w:id="135"/>
    </w:p>
    <w:p w14:paraId="331C7A18">
      <w:pPr>
        <w:spacing w:line="360" w:lineRule="auto"/>
        <w:ind w:firstLine="435"/>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9</w:t>
      </w:r>
      <w:r>
        <w:rPr>
          <w:rFonts w:hint="eastAsia" w:ascii="宋体" w:hAnsi="宋体"/>
          <w:color w:val="auto"/>
          <w:sz w:val="24"/>
          <w:highlight w:val="none"/>
        </w:rPr>
        <w:t>.1双方当事人协商一致，可以签订书面补充合同的形式变更合同，但不得违背采购文件确定的事项；</w:t>
      </w:r>
    </w:p>
    <w:p w14:paraId="030305F5">
      <w:pPr>
        <w:spacing w:line="360" w:lineRule="auto"/>
        <w:ind w:firstLine="435"/>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9</w:t>
      </w:r>
      <w:r>
        <w:rPr>
          <w:rFonts w:hint="eastAsia" w:ascii="宋体" w:hAnsi="宋体"/>
          <w:color w:val="auto"/>
          <w:sz w:val="24"/>
          <w:highlight w:val="none"/>
        </w:rPr>
        <w:t>.2合同继续履行将损害国家利益和社会公共利益的，双方当事人应当以书面形式变更合同。有过错的一方应当承担赔偿责任，双方当事人都有过错的，各自承担相应的责任。</w:t>
      </w:r>
      <w:bookmarkStart w:id="140" w:name="_Toc279701259"/>
      <w:bookmarkStart w:id="141" w:name="_Toc487900369"/>
      <w:bookmarkStart w:id="142" w:name="_Toc259093688"/>
    </w:p>
    <w:p w14:paraId="4CF13F7A">
      <w:pPr>
        <w:spacing w:line="360" w:lineRule="auto"/>
        <w:ind w:firstLine="437"/>
        <w:rPr>
          <w:rFonts w:hint="eastAsia" w:ascii="宋体" w:hAnsi="宋体"/>
          <w:b/>
          <w:bCs/>
          <w:color w:val="auto"/>
          <w:sz w:val="24"/>
          <w:highlight w:val="none"/>
          <w:lang w:val="zh-CN"/>
        </w:rPr>
      </w:pPr>
      <w:bookmarkStart w:id="143" w:name="_Toc22955"/>
      <w:bookmarkStart w:id="144" w:name="_Toc15237"/>
      <w:bookmarkStart w:id="145" w:name="_Toc10366"/>
      <w:r>
        <w:rPr>
          <w:rFonts w:hint="eastAsia" w:ascii="宋体" w:hAnsi="宋体"/>
          <w:b/>
          <w:bCs/>
          <w:color w:val="auto"/>
          <w:sz w:val="24"/>
          <w:highlight w:val="none"/>
          <w:lang w:val="zh-CN"/>
        </w:rPr>
        <w:t>2.1</w:t>
      </w:r>
      <w:r>
        <w:rPr>
          <w:rFonts w:ascii="宋体" w:hAnsi="宋体"/>
          <w:b/>
          <w:bCs/>
          <w:color w:val="auto"/>
          <w:sz w:val="24"/>
          <w:highlight w:val="none"/>
          <w:lang w:val="zh-CN"/>
        </w:rPr>
        <w:t>0</w:t>
      </w:r>
      <w:r>
        <w:rPr>
          <w:rFonts w:hint="eastAsia" w:ascii="宋体" w:hAnsi="宋体"/>
          <w:b/>
          <w:bCs/>
          <w:color w:val="auto"/>
          <w:sz w:val="24"/>
          <w:highlight w:val="none"/>
          <w:lang w:val="zh-CN"/>
        </w:rPr>
        <w:t xml:space="preserve"> </w:t>
      </w:r>
      <w:r>
        <w:rPr>
          <w:rFonts w:ascii="宋体" w:hAnsi="宋体"/>
          <w:b/>
          <w:bCs/>
          <w:color w:val="auto"/>
          <w:sz w:val="24"/>
          <w:highlight w:val="none"/>
          <w:lang w:val="zh-CN"/>
        </w:rPr>
        <w:t>合同转让</w:t>
      </w:r>
      <w:bookmarkEnd w:id="140"/>
      <w:bookmarkEnd w:id="141"/>
      <w:bookmarkEnd w:id="142"/>
      <w:r>
        <w:rPr>
          <w:rFonts w:ascii="宋体" w:hAnsi="宋体"/>
          <w:b/>
          <w:bCs/>
          <w:color w:val="auto"/>
          <w:sz w:val="24"/>
          <w:highlight w:val="none"/>
          <w:lang w:val="zh-CN"/>
        </w:rPr>
        <w:t>和分包</w:t>
      </w:r>
      <w:bookmarkEnd w:id="143"/>
      <w:bookmarkEnd w:id="144"/>
      <w:bookmarkEnd w:id="145"/>
    </w:p>
    <w:p w14:paraId="64B73D63">
      <w:pPr>
        <w:spacing w:line="360" w:lineRule="auto"/>
        <w:ind w:firstLine="435"/>
        <w:rPr>
          <w:rFonts w:hint="eastAsia" w:ascii="宋体" w:hAnsi="宋体"/>
          <w:color w:val="auto"/>
          <w:sz w:val="24"/>
          <w:highlight w:val="none"/>
        </w:rPr>
      </w:pPr>
      <w:r>
        <w:rPr>
          <w:rFonts w:ascii="宋体" w:hAnsi="宋体"/>
          <w:color w:val="auto"/>
          <w:sz w:val="24"/>
          <w:highlight w:val="none"/>
        </w:rPr>
        <w:t>合同的权利义务依法不</w:t>
      </w:r>
      <w:r>
        <w:rPr>
          <w:rFonts w:hint="eastAsia" w:ascii="宋体" w:hAnsi="宋体"/>
          <w:color w:val="auto"/>
          <w:sz w:val="24"/>
          <w:highlight w:val="none"/>
        </w:rPr>
        <w:t>得</w:t>
      </w:r>
      <w:r>
        <w:rPr>
          <w:rFonts w:ascii="宋体" w:hAnsi="宋体"/>
          <w:color w:val="auto"/>
          <w:sz w:val="24"/>
          <w:highlight w:val="none"/>
        </w:rPr>
        <w:t>转让</w:t>
      </w:r>
      <w:r>
        <w:rPr>
          <w:rFonts w:hint="eastAsia" w:ascii="宋体" w:hAnsi="宋体"/>
          <w:color w:val="auto"/>
          <w:sz w:val="24"/>
          <w:highlight w:val="none"/>
        </w:rPr>
        <w:t>，</w:t>
      </w:r>
      <w:r>
        <w:rPr>
          <w:rFonts w:ascii="宋体" w:hAnsi="宋体"/>
          <w:color w:val="auto"/>
          <w:sz w:val="24"/>
          <w:highlight w:val="none"/>
        </w:rPr>
        <w:t>但经甲方</w:t>
      </w:r>
      <w:r>
        <w:rPr>
          <w:rFonts w:hint="eastAsia" w:ascii="宋体" w:hAnsi="宋体"/>
          <w:color w:val="auto"/>
          <w:sz w:val="24"/>
          <w:highlight w:val="none"/>
        </w:rPr>
        <w:t>同意，乙方可以依法采取分包方式履行合同，即：依法可以</w:t>
      </w:r>
      <w:r>
        <w:rPr>
          <w:rFonts w:ascii="宋体" w:hAnsi="宋体"/>
          <w:color w:val="auto"/>
          <w:sz w:val="24"/>
          <w:highlight w:val="none"/>
        </w:rPr>
        <w:t>将合同项下的部分非主体、非关键性工作分包给他人完成</w:t>
      </w:r>
      <w:r>
        <w:rPr>
          <w:rFonts w:hint="eastAsia" w:ascii="宋体" w:hAnsi="宋体"/>
          <w:color w:val="auto"/>
          <w:sz w:val="24"/>
          <w:highlight w:val="none"/>
        </w:rPr>
        <w:t>，</w:t>
      </w:r>
      <w:r>
        <w:rPr>
          <w:rFonts w:ascii="宋体" w:hAnsi="宋体"/>
          <w:color w:val="auto"/>
          <w:sz w:val="24"/>
          <w:highlight w:val="none"/>
        </w:rPr>
        <w:t>接受分包的人应当具备相应的资格条件，并不得再次分包</w:t>
      </w:r>
      <w:r>
        <w:rPr>
          <w:rFonts w:hint="eastAsia" w:ascii="宋体" w:hAnsi="宋体"/>
          <w:color w:val="auto"/>
          <w:sz w:val="24"/>
          <w:highlight w:val="none"/>
        </w:rPr>
        <w:t>，</w:t>
      </w:r>
      <w:r>
        <w:rPr>
          <w:rFonts w:ascii="宋体" w:hAnsi="宋体"/>
          <w:color w:val="auto"/>
          <w:sz w:val="24"/>
          <w:highlight w:val="none"/>
        </w:rPr>
        <w:t>且乙方应就分包项目向甲方负责</w:t>
      </w:r>
      <w:r>
        <w:rPr>
          <w:rFonts w:hint="eastAsia" w:ascii="宋体" w:hAnsi="宋体"/>
          <w:color w:val="auto"/>
          <w:sz w:val="24"/>
          <w:highlight w:val="none"/>
        </w:rPr>
        <w:t>，</w:t>
      </w:r>
      <w:r>
        <w:rPr>
          <w:rFonts w:ascii="宋体" w:hAnsi="宋体"/>
          <w:color w:val="auto"/>
          <w:sz w:val="24"/>
          <w:highlight w:val="none"/>
        </w:rPr>
        <w:t>并</w:t>
      </w:r>
      <w:r>
        <w:rPr>
          <w:rFonts w:hint="eastAsia" w:ascii="宋体" w:hAnsi="宋体"/>
          <w:color w:val="auto"/>
          <w:sz w:val="24"/>
          <w:highlight w:val="none"/>
        </w:rPr>
        <w:t>与分包供应商就分包项目向甲方承担连带责任。</w:t>
      </w:r>
    </w:p>
    <w:p w14:paraId="3C112158">
      <w:pPr>
        <w:spacing w:line="360" w:lineRule="auto"/>
        <w:ind w:firstLine="437"/>
        <w:rPr>
          <w:rFonts w:hint="eastAsia" w:ascii="宋体" w:hAnsi="宋体"/>
          <w:b/>
          <w:bCs/>
          <w:color w:val="auto"/>
          <w:sz w:val="24"/>
          <w:highlight w:val="none"/>
          <w:lang w:val="zh-CN"/>
        </w:rPr>
      </w:pPr>
      <w:bookmarkStart w:id="146" w:name="_Toc16508"/>
      <w:bookmarkStart w:id="147" w:name="_Toc14066"/>
      <w:bookmarkStart w:id="148" w:name="_Toc13566"/>
      <w:r>
        <w:rPr>
          <w:rFonts w:hint="eastAsia" w:ascii="宋体" w:hAnsi="宋体"/>
          <w:b/>
          <w:bCs/>
          <w:color w:val="auto"/>
          <w:sz w:val="24"/>
          <w:highlight w:val="none"/>
          <w:lang w:val="zh-CN"/>
        </w:rPr>
        <w:t>2.1</w:t>
      </w:r>
      <w:r>
        <w:rPr>
          <w:rFonts w:ascii="宋体" w:hAnsi="宋体"/>
          <w:b/>
          <w:bCs/>
          <w:color w:val="auto"/>
          <w:sz w:val="24"/>
          <w:highlight w:val="none"/>
          <w:lang w:val="zh-CN"/>
        </w:rPr>
        <w:t>1 不可抗力</w:t>
      </w:r>
      <w:bookmarkEnd w:id="146"/>
      <w:bookmarkEnd w:id="147"/>
      <w:bookmarkEnd w:id="148"/>
    </w:p>
    <w:p w14:paraId="6B47C96C">
      <w:pPr>
        <w:spacing w:line="360" w:lineRule="auto"/>
        <w:ind w:firstLine="435"/>
        <w:rPr>
          <w:rFonts w:hint="eastAsia" w:ascii="宋体" w:hAnsi="宋体"/>
          <w:color w:val="auto"/>
          <w:sz w:val="24"/>
          <w:highlight w:val="none"/>
        </w:rPr>
      </w:pPr>
      <w:r>
        <w:rPr>
          <w:rFonts w:hint="eastAsia" w:ascii="宋体" w:hAnsi="宋体"/>
          <w:color w:val="auto"/>
          <w:sz w:val="24"/>
          <w:highlight w:val="none"/>
        </w:rPr>
        <w:t>2.1</w:t>
      </w:r>
      <w:r>
        <w:rPr>
          <w:rFonts w:ascii="宋体" w:hAnsi="宋体"/>
          <w:color w:val="auto"/>
          <w:sz w:val="24"/>
          <w:highlight w:val="none"/>
        </w:rPr>
        <w:t>1.1如果任何一方遭遇法律规定的不可抗力，致使合同履行受阻时，履行合同的期限应予延长，延长的期限应相当于不可抗力所影响的时间</w:t>
      </w:r>
      <w:r>
        <w:rPr>
          <w:rFonts w:hint="eastAsia" w:ascii="宋体" w:hAnsi="宋体"/>
          <w:color w:val="auto"/>
          <w:sz w:val="24"/>
          <w:highlight w:val="none"/>
        </w:rPr>
        <w:t>；</w:t>
      </w:r>
    </w:p>
    <w:p w14:paraId="2B5B7721">
      <w:pPr>
        <w:spacing w:line="360" w:lineRule="auto"/>
        <w:ind w:firstLine="435"/>
        <w:rPr>
          <w:rFonts w:hint="eastAsia" w:ascii="宋体" w:hAnsi="宋体"/>
          <w:color w:val="auto"/>
          <w:sz w:val="24"/>
          <w:highlight w:val="none"/>
        </w:rPr>
      </w:pPr>
      <w:r>
        <w:rPr>
          <w:rFonts w:hint="eastAsia" w:ascii="宋体" w:hAnsi="宋体"/>
          <w:color w:val="auto"/>
          <w:sz w:val="24"/>
          <w:highlight w:val="none"/>
        </w:rPr>
        <w:t>2.1</w:t>
      </w:r>
      <w:r>
        <w:rPr>
          <w:rFonts w:ascii="宋体" w:hAnsi="宋体"/>
          <w:color w:val="auto"/>
          <w:sz w:val="24"/>
          <w:highlight w:val="none"/>
        </w:rPr>
        <w:t>1</w:t>
      </w:r>
      <w:r>
        <w:rPr>
          <w:rFonts w:hint="eastAsia" w:ascii="宋体" w:hAnsi="宋体"/>
          <w:color w:val="auto"/>
          <w:sz w:val="24"/>
          <w:highlight w:val="none"/>
        </w:rPr>
        <w:t>.2因不可抗力致使不能实现合同目的的，当事人可以解除合同；</w:t>
      </w:r>
    </w:p>
    <w:p w14:paraId="169D5F87">
      <w:pPr>
        <w:spacing w:line="360" w:lineRule="auto"/>
        <w:ind w:firstLine="435"/>
        <w:rPr>
          <w:rFonts w:hint="eastAsia" w:ascii="宋体" w:hAnsi="宋体"/>
          <w:color w:val="auto"/>
          <w:sz w:val="24"/>
          <w:highlight w:val="none"/>
        </w:rPr>
      </w:pPr>
      <w:r>
        <w:rPr>
          <w:rFonts w:hint="eastAsia" w:ascii="宋体" w:hAnsi="宋体"/>
          <w:color w:val="auto"/>
          <w:sz w:val="24"/>
          <w:highlight w:val="none"/>
        </w:rPr>
        <w:t>2.1</w:t>
      </w:r>
      <w:r>
        <w:rPr>
          <w:rFonts w:ascii="宋体" w:hAnsi="宋体"/>
          <w:color w:val="auto"/>
          <w:sz w:val="24"/>
          <w:highlight w:val="none"/>
        </w:rPr>
        <w:t>1</w:t>
      </w:r>
      <w:r>
        <w:rPr>
          <w:rFonts w:hint="eastAsia" w:ascii="宋体" w:hAnsi="宋体"/>
          <w:color w:val="auto"/>
          <w:sz w:val="24"/>
          <w:highlight w:val="none"/>
        </w:rPr>
        <w:t>.3因</w:t>
      </w:r>
      <w:r>
        <w:rPr>
          <w:rFonts w:ascii="宋体" w:hAnsi="宋体"/>
          <w:color w:val="auto"/>
          <w:sz w:val="24"/>
          <w:highlight w:val="none"/>
        </w:rPr>
        <w:t>不可抗力致使合同有变更必要的，双方当事人应在</w:t>
      </w:r>
      <w:r>
        <w:rPr>
          <w:rFonts w:ascii="宋体" w:hAnsi="宋体"/>
          <w:b/>
          <w:i/>
          <w:color w:val="auto"/>
          <w:sz w:val="24"/>
          <w:highlight w:val="none"/>
          <w:u w:val="single"/>
        </w:rPr>
        <w:t>合同专用条款</w:t>
      </w:r>
      <w:r>
        <w:rPr>
          <w:rFonts w:ascii="宋体" w:hAnsi="宋体"/>
          <w:color w:val="auto"/>
          <w:sz w:val="24"/>
          <w:highlight w:val="none"/>
        </w:rPr>
        <w:t>约定时间内以书面形式变更合同</w:t>
      </w:r>
      <w:r>
        <w:rPr>
          <w:rFonts w:hint="eastAsia" w:ascii="宋体" w:hAnsi="宋体"/>
          <w:color w:val="auto"/>
          <w:sz w:val="24"/>
          <w:highlight w:val="none"/>
        </w:rPr>
        <w:t>；</w:t>
      </w:r>
    </w:p>
    <w:p w14:paraId="233EB2D8">
      <w:pPr>
        <w:spacing w:line="360" w:lineRule="auto"/>
        <w:ind w:firstLine="435"/>
        <w:rPr>
          <w:rFonts w:hint="eastAsia" w:ascii="宋体" w:hAnsi="宋体"/>
          <w:color w:val="auto"/>
          <w:sz w:val="24"/>
          <w:highlight w:val="none"/>
        </w:rPr>
      </w:pPr>
      <w:r>
        <w:rPr>
          <w:rFonts w:hint="eastAsia" w:ascii="宋体" w:hAnsi="宋体"/>
          <w:color w:val="auto"/>
          <w:sz w:val="24"/>
          <w:highlight w:val="none"/>
        </w:rPr>
        <w:t>2.1</w:t>
      </w:r>
      <w:r>
        <w:rPr>
          <w:rFonts w:ascii="宋体" w:hAnsi="宋体"/>
          <w:color w:val="auto"/>
          <w:sz w:val="24"/>
          <w:highlight w:val="none"/>
        </w:rPr>
        <w:t>1.</w:t>
      </w:r>
      <w:r>
        <w:rPr>
          <w:rFonts w:hint="eastAsia" w:ascii="宋体" w:hAnsi="宋体"/>
          <w:color w:val="auto"/>
          <w:sz w:val="24"/>
          <w:highlight w:val="none"/>
        </w:rPr>
        <w:t>4</w:t>
      </w:r>
      <w:r>
        <w:rPr>
          <w:rFonts w:ascii="宋体" w:hAnsi="宋体"/>
          <w:color w:val="auto"/>
          <w:sz w:val="24"/>
          <w:highlight w:val="none"/>
        </w:rPr>
        <w:t>受</w:t>
      </w:r>
      <w:r>
        <w:rPr>
          <w:rFonts w:hint="eastAsia" w:ascii="宋体" w:hAnsi="宋体"/>
          <w:color w:val="auto"/>
          <w:sz w:val="24"/>
          <w:highlight w:val="none"/>
        </w:rPr>
        <w:t>不可抗力</w:t>
      </w:r>
      <w:r>
        <w:rPr>
          <w:rFonts w:ascii="宋体" w:hAnsi="宋体"/>
          <w:color w:val="auto"/>
          <w:sz w:val="24"/>
          <w:highlight w:val="none"/>
        </w:rPr>
        <w:t>影响的一方在不可抗力发生后</w:t>
      </w:r>
      <w:r>
        <w:rPr>
          <w:rFonts w:hint="eastAsia" w:ascii="宋体" w:hAnsi="宋体"/>
          <w:color w:val="auto"/>
          <w:sz w:val="24"/>
          <w:highlight w:val="none"/>
        </w:rPr>
        <w:t>，</w:t>
      </w:r>
      <w:r>
        <w:rPr>
          <w:rFonts w:ascii="宋体" w:hAnsi="宋体"/>
          <w:color w:val="auto"/>
          <w:sz w:val="24"/>
          <w:highlight w:val="none"/>
        </w:rPr>
        <w:t>应在</w:t>
      </w:r>
      <w:r>
        <w:rPr>
          <w:rFonts w:ascii="宋体" w:hAnsi="宋体"/>
          <w:b/>
          <w:i/>
          <w:color w:val="auto"/>
          <w:sz w:val="24"/>
          <w:highlight w:val="none"/>
          <w:u w:val="single"/>
        </w:rPr>
        <w:t>合同专用条款</w:t>
      </w:r>
      <w:r>
        <w:rPr>
          <w:rFonts w:ascii="宋体" w:hAnsi="宋体"/>
          <w:color w:val="auto"/>
          <w:sz w:val="24"/>
          <w:highlight w:val="none"/>
        </w:rPr>
        <w:t>约定时间内以书面形式通知</w:t>
      </w:r>
      <w:r>
        <w:rPr>
          <w:rFonts w:hint="eastAsia" w:ascii="宋体" w:hAnsi="宋体"/>
          <w:color w:val="auto"/>
          <w:sz w:val="24"/>
          <w:highlight w:val="none"/>
        </w:rPr>
        <w:t>对</w:t>
      </w:r>
      <w:r>
        <w:rPr>
          <w:rFonts w:ascii="宋体" w:hAnsi="宋体"/>
          <w:color w:val="auto"/>
          <w:sz w:val="24"/>
          <w:highlight w:val="none"/>
        </w:rPr>
        <w:t>方当事人，并在</w:t>
      </w:r>
      <w:r>
        <w:rPr>
          <w:rFonts w:ascii="宋体" w:hAnsi="宋体"/>
          <w:b/>
          <w:i/>
          <w:color w:val="auto"/>
          <w:sz w:val="24"/>
          <w:highlight w:val="none"/>
          <w:u w:val="single"/>
        </w:rPr>
        <w:t>合同专用条款</w:t>
      </w:r>
      <w:r>
        <w:rPr>
          <w:rFonts w:ascii="宋体" w:hAnsi="宋体"/>
          <w:color w:val="auto"/>
          <w:sz w:val="24"/>
          <w:highlight w:val="none"/>
        </w:rPr>
        <w:t>约定时间内，将有关部门出具的证明文件送达</w:t>
      </w:r>
      <w:r>
        <w:rPr>
          <w:rFonts w:hint="eastAsia" w:ascii="宋体" w:hAnsi="宋体"/>
          <w:color w:val="auto"/>
          <w:sz w:val="24"/>
          <w:highlight w:val="none"/>
        </w:rPr>
        <w:t>对方当事人</w:t>
      </w:r>
      <w:r>
        <w:rPr>
          <w:rFonts w:ascii="宋体" w:hAnsi="宋体"/>
          <w:color w:val="auto"/>
          <w:sz w:val="24"/>
          <w:highlight w:val="none"/>
        </w:rPr>
        <w:t>。</w:t>
      </w:r>
    </w:p>
    <w:p w14:paraId="5023B2F4">
      <w:pPr>
        <w:spacing w:line="360" w:lineRule="auto"/>
        <w:ind w:firstLine="437"/>
        <w:rPr>
          <w:rFonts w:hint="eastAsia" w:ascii="宋体" w:hAnsi="宋体"/>
          <w:b/>
          <w:bCs/>
          <w:color w:val="auto"/>
          <w:sz w:val="24"/>
          <w:highlight w:val="none"/>
          <w:lang w:val="zh-CN"/>
        </w:rPr>
      </w:pPr>
      <w:bookmarkStart w:id="149" w:name="_Toc6969"/>
      <w:bookmarkStart w:id="150" w:name="_Toc259093684"/>
      <w:bookmarkStart w:id="151" w:name="_Toc689"/>
      <w:bookmarkStart w:id="152" w:name="_Toc487900365"/>
      <w:bookmarkStart w:id="153" w:name="_Toc30676"/>
      <w:bookmarkStart w:id="154" w:name="_Toc279701255"/>
      <w:r>
        <w:rPr>
          <w:rFonts w:hint="eastAsia" w:ascii="宋体" w:hAnsi="宋体"/>
          <w:b/>
          <w:bCs/>
          <w:color w:val="auto"/>
          <w:sz w:val="24"/>
          <w:highlight w:val="none"/>
          <w:lang w:val="zh-CN"/>
        </w:rPr>
        <w:t>2.</w:t>
      </w:r>
      <w:r>
        <w:rPr>
          <w:rFonts w:ascii="宋体" w:hAnsi="宋体"/>
          <w:b/>
          <w:bCs/>
          <w:color w:val="auto"/>
          <w:sz w:val="24"/>
          <w:highlight w:val="none"/>
          <w:lang w:val="zh-CN"/>
        </w:rPr>
        <w:t>12</w:t>
      </w:r>
      <w:r>
        <w:rPr>
          <w:rFonts w:hint="eastAsia" w:ascii="宋体" w:hAnsi="宋体"/>
          <w:b/>
          <w:bCs/>
          <w:color w:val="auto"/>
          <w:sz w:val="24"/>
          <w:highlight w:val="none"/>
          <w:lang w:val="zh-CN"/>
        </w:rPr>
        <w:t xml:space="preserve"> </w:t>
      </w:r>
      <w:r>
        <w:rPr>
          <w:rFonts w:ascii="宋体" w:hAnsi="宋体"/>
          <w:b/>
          <w:bCs/>
          <w:color w:val="auto"/>
          <w:sz w:val="24"/>
          <w:highlight w:val="none"/>
          <w:lang w:val="zh-CN"/>
        </w:rPr>
        <w:t>税费</w:t>
      </w:r>
      <w:bookmarkEnd w:id="149"/>
      <w:bookmarkEnd w:id="150"/>
      <w:bookmarkEnd w:id="151"/>
      <w:bookmarkEnd w:id="152"/>
      <w:bookmarkEnd w:id="153"/>
      <w:bookmarkEnd w:id="154"/>
    </w:p>
    <w:p w14:paraId="1AA8A0D5">
      <w:pPr>
        <w:spacing w:line="360" w:lineRule="auto"/>
        <w:ind w:firstLine="435"/>
        <w:rPr>
          <w:rFonts w:hint="eastAsia" w:ascii="宋体" w:hAnsi="宋体"/>
          <w:color w:val="auto"/>
          <w:sz w:val="24"/>
          <w:highlight w:val="none"/>
        </w:rPr>
      </w:pPr>
      <w:r>
        <w:rPr>
          <w:rFonts w:ascii="宋体" w:hAnsi="宋体"/>
          <w:color w:val="auto"/>
          <w:sz w:val="24"/>
          <w:highlight w:val="none"/>
        </w:rPr>
        <w:t>与合同有关的一切税费</w:t>
      </w:r>
      <w:r>
        <w:rPr>
          <w:rFonts w:hint="eastAsia" w:ascii="宋体" w:hAnsi="宋体"/>
          <w:color w:val="auto"/>
          <w:sz w:val="24"/>
          <w:highlight w:val="none"/>
        </w:rPr>
        <w:t>，</w:t>
      </w:r>
      <w:r>
        <w:rPr>
          <w:rFonts w:ascii="宋体" w:hAnsi="宋体"/>
          <w:color w:val="auto"/>
          <w:sz w:val="24"/>
          <w:highlight w:val="none"/>
        </w:rPr>
        <w:t>均按照中华人民共和国法律的相关规定</w:t>
      </w:r>
      <w:r>
        <w:rPr>
          <w:rFonts w:hint="eastAsia" w:ascii="宋体" w:hAnsi="宋体"/>
          <w:color w:val="auto"/>
          <w:sz w:val="24"/>
          <w:highlight w:val="none"/>
        </w:rPr>
        <w:t>缴纳</w:t>
      </w:r>
      <w:r>
        <w:rPr>
          <w:rFonts w:ascii="宋体" w:hAnsi="宋体"/>
          <w:color w:val="auto"/>
          <w:sz w:val="24"/>
          <w:highlight w:val="none"/>
        </w:rPr>
        <w:t>。</w:t>
      </w:r>
    </w:p>
    <w:p w14:paraId="2ED92DDD">
      <w:pPr>
        <w:spacing w:line="360" w:lineRule="auto"/>
        <w:ind w:firstLine="437"/>
        <w:rPr>
          <w:rFonts w:hint="eastAsia" w:ascii="宋体" w:hAnsi="宋体"/>
          <w:b/>
          <w:bCs/>
          <w:color w:val="auto"/>
          <w:sz w:val="24"/>
          <w:highlight w:val="none"/>
          <w:lang w:val="zh-CN"/>
        </w:rPr>
      </w:pPr>
      <w:bookmarkStart w:id="155" w:name="_Toc16959"/>
      <w:bookmarkStart w:id="156" w:name="_Toc279701258"/>
      <w:bookmarkStart w:id="157" w:name="_Toc487900368"/>
      <w:bookmarkStart w:id="158" w:name="_Toc259093687"/>
      <w:bookmarkStart w:id="159" w:name="_Toc7102"/>
      <w:bookmarkStart w:id="160" w:name="_Toc8298"/>
      <w:r>
        <w:rPr>
          <w:rFonts w:hint="eastAsia" w:ascii="宋体" w:hAnsi="宋体"/>
          <w:b/>
          <w:bCs/>
          <w:color w:val="auto"/>
          <w:sz w:val="24"/>
          <w:highlight w:val="none"/>
          <w:lang w:val="zh-CN"/>
        </w:rPr>
        <w:t>2.</w:t>
      </w:r>
      <w:r>
        <w:rPr>
          <w:rFonts w:ascii="宋体" w:hAnsi="宋体"/>
          <w:b/>
          <w:bCs/>
          <w:color w:val="auto"/>
          <w:sz w:val="24"/>
          <w:highlight w:val="none"/>
          <w:lang w:val="zh-CN"/>
        </w:rPr>
        <w:t>13</w:t>
      </w:r>
      <w:r>
        <w:rPr>
          <w:rFonts w:hint="eastAsia" w:ascii="宋体" w:hAnsi="宋体"/>
          <w:b/>
          <w:bCs/>
          <w:color w:val="auto"/>
          <w:sz w:val="24"/>
          <w:highlight w:val="none"/>
          <w:lang w:val="zh-CN"/>
        </w:rPr>
        <w:t xml:space="preserve"> </w:t>
      </w:r>
      <w:r>
        <w:rPr>
          <w:rFonts w:ascii="宋体" w:hAnsi="宋体"/>
          <w:b/>
          <w:bCs/>
          <w:color w:val="auto"/>
          <w:sz w:val="24"/>
          <w:highlight w:val="none"/>
          <w:lang w:val="zh-CN"/>
        </w:rPr>
        <w:t>乙方破产</w:t>
      </w:r>
      <w:bookmarkEnd w:id="155"/>
      <w:bookmarkEnd w:id="156"/>
      <w:bookmarkEnd w:id="157"/>
      <w:bookmarkEnd w:id="158"/>
      <w:bookmarkEnd w:id="159"/>
      <w:bookmarkEnd w:id="160"/>
    </w:p>
    <w:p w14:paraId="44AF569E">
      <w:pPr>
        <w:spacing w:line="360" w:lineRule="auto"/>
        <w:ind w:firstLine="435"/>
        <w:rPr>
          <w:rFonts w:hint="eastAsia" w:ascii="宋体" w:hAnsi="宋体"/>
          <w:color w:val="auto"/>
          <w:sz w:val="24"/>
          <w:highlight w:val="none"/>
        </w:rPr>
      </w:pPr>
      <w:r>
        <w:rPr>
          <w:rFonts w:ascii="宋体" w:hAnsi="宋体"/>
          <w:color w:val="auto"/>
          <w:sz w:val="24"/>
          <w:highlight w:val="none"/>
        </w:rPr>
        <w:t>如果乙方破产导致合同无法履行时，甲方可以书面形式通知乙方终止合同且不给予乙方任何补偿和赔偿</w:t>
      </w:r>
      <w:r>
        <w:rPr>
          <w:rFonts w:hint="eastAsia" w:ascii="宋体" w:hAnsi="宋体"/>
          <w:color w:val="auto"/>
          <w:sz w:val="24"/>
          <w:highlight w:val="none"/>
        </w:rPr>
        <w:t>，但合同的</w:t>
      </w:r>
      <w:r>
        <w:rPr>
          <w:rFonts w:ascii="宋体" w:hAnsi="宋体"/>
          <w:color w:val="auto"/>
          <w:sz w:val="24"/>
          <w:highlight w:val="none"/>
        </w:rPr>
        <w:t>终止不损害或不影响甲方已经采取或将要采取的任何要求乙方支付违约金</w:t>
      </w:r>
      <w:r>
        <w:rPr>
          <w:rFonts w:hint="eastAsia" w:ascii="宋体" w:hAnsi="宋体"/>
          <w:color w:val="auto"/>
          <w:sz w:val="24"/>
          <w:highlight w:val="none"/>
        </w:rPr>
        <w:t>、</w:t>
      </w:r>
      <w:r>
        <w:rPr>
          <w:rFonts w:ascii="宋体" w:hAnsi="宋体"/>
          <w:color w:val="auto"/>
          <w:sz w:val="24"/>
          <w:highlight w:val="none"/>
        </w:rPr>
        <w:t>赔偿损失等的行动或补救措施的权利</w:t>
      </w:r>
      <w:r>
        <w:rPr>
          <w:rFonts w:hint="eastAsia" w:ascii="宋体" w:hAnsi="宋体"/>
          <w:color w:val="auto"/>
          <w:sz w:val="24"/>
          <w:highlight w:val="none"/>
        </w:rPr>
        <w:t>。</w:t>
      </w:r>
    </w:p>
    <w:p w14:paraId="77D2A558">
      <w:pPr>
        <w:spacing w:line="360" w:lineRule="auto"/>
        <w:ind w:firstLine="437"/>
        <w:rPr>
          <w:rFonts w:hint="eastAsia" w:ascii="宋体" w:hAnsi="宋体"/>
          <w:b/>
          <w:color w:val="auto"/>
          <w:sz w:val="24"/>
          <w:highlight w:val="none"/>
        </w:rPr>
      </w:pPr>
      <w:bookmarkStart w:id="161" w:name="_Toc29333"/>
      <w:bookmarkStart w:id="162" w:name="_Toc6134"/>
      <w:bookmarkStart w:id="163" w:name="_Toc15387"/>
      <w:r>
        <w:rPr>
          <w:rFonts w:hint="eastAsia" w:ascii="宋体" w:hAnsi="宋体"/>
          <w:b/>
          <w:bCs/>
          <w:color w:val="auto"/>
          <w:sz w:val="24"/>
          <w:highlight w:val="none"/>
          <w:lang w:val="zh-CN"/>
        </w:rPr>
        <w:t>2.1</w:t>
      </w:r>
      <w:r>
        <w:rPr>
          <w:rFonts w:ascii="宋体" w:hAnsi="宋体"/>
          <w:b/>
          <w:bCs/>
          <w:color w:val="auto"/>
          <w:sz w:val="24"/>
          <w:highlight w:val="none"/>
          <w:lang w:val="zh-CN"/>
        </w:rPr>
        <w:t>4</w:t>
      </w:r>
      <w:r>
        <w:rPr>
          <w:rFonts w:hint="eastAsia" w:ascii="宋体" w:hAnsi="宋体"/>
          <w:b/>
          <w:bCs/>
          <w:color w:val="auto"/>
          <w:sz w:val="24"/>
          <w:highlight w:val="none"/>
          <w:lang w:val="zh-CN"/>
        </w:rPr>
        <w:t xml:space="preserve"> 合同中止、终止</w:t>
      </w:r>
      <w:bookmarkEnd w:id="161"/>
      <w:bookmarkEnd w:id="162"/>
      <w:bookmarkEnd w:id="163"/>
    </w:p>
    <w:p w14:paraId="4755A537">
      <w:pPr>
        <w:spacing w:line="360" w:lineRule="auto"/>
        <w:ind w:firstLine="435"/>
        <w:rPr>
          <w:rFonts w:hint="eastAsia" w:ascii="宋体" w:hAnsi="宋体"/>
          <w:color w:val="auto"/>
          <w:sz w:val="24"/>
          <w:highlight w:val="none"/>
        </w:rPr>
      </w:pPr>
      <w:r>
        <w:rPr>
          <w:rFonts w:hint="eastAsia" w:ascii="宋体" w:hAnsi="宋体"/>
          <w:color w:val="auto"/>
          <w:sz w:val="24"/>
          <w:highlight w:val="none"/>
        </w:rPr>
        <w:t>2.1</w:t>
      </w:r>
      <w:r>
        <w:rPr>
          <w:rFonts w:ascii="宋体" w:hAnsi="宋体"/>
          <w:color w:val="auto"/>
          <w:sz w:val="24"/>
          <w:highlight w:val="none"/>
        </w:rPr>
        <w:t>4</w:t>
      </w:r>
      <w:r>
        <w:rPr>
          <w:rFonts w:hint="eastAsia" w:ascii="宋体" w:hAnsi="宋体"/>
          <w:color w:val="auto"/>
          <w:sz w:val="24"/>
          <w:highlight w:val="none"/>
        </w:rPr>
        <w:t>.1双方当事人不得擅自中止或者终止合同；</w:t>
      </w:r>
    </w:p>
    <w:p w14:paraId="3CF2F7F4">
      <w:pPr>
        <w:spacing w:line="360" w:lineRule="auto"/>
        <w:ind w:firstLine="435"/>
        <w:rPr>
          <w:rFonts w:hint="eastAsia" w:ascii="宋体" w:hAnsi="宋体"/>
          <w:color w:val="auto"/>
          <w:sz w:val="24"/>
          <w:highlight w:val="none"/>
        </w:rPr>
      </w:pPr>
      <w:r>
        <w:rPr>
          <w:rFonts w:hint="eastAsia" w:ascii="宋体" w:hAnsi="宋体"/>
          <w:color w:val="auto"/>
          <w:sz w:val="24"/>
          <w:highlight w:val="none"/>
        </w:rPr>
        <w:t>2.1</w:t>
      </w:r>
      <w:r>
        <w:rPr>
          <w:rFonts w:ascii="宋体" w:hAnsi="宋体"/>
          <w:color w:val="auto"/>
          <w:sz w:val="24"/>
          <w:highlight w:val="none"/>
        </w:rPr>
        <w:t>4</w:t>
      </w:r>
      <w:r>
        <w:rPr>
          <w:rFonts w:hint="eastAsia" w:ascii="宋体" w:hAnsi="宋体"/>
          <w:color w:val="auto"/>
          <w:sz w:val="24"/>
          <w:highlight w:val="none"/>
        </w:rPr>
        <w:t>.2合同继续履行将损害国家利益和社会公共利益的，双方当事人应当中止或者终止合同。有过错的一方应当承担赔偿责任，双方当事人都有过错的，各自承担相应的责任。</w:t>
      </w:r>
    </w:p>
    <w:p w14:paraId="25E31099">
      <w:pPr>
        <w:spacing w:line="360" w:lineRule="auto"/>
        <w:ind w:firstLine="437"/>
        <w:rPr>
          <w:rFonts w:hint="eastAsia" w:ascii="宋体" w:hAnsi="宋体"/>
          <w:b/>
          <w:bCs/>
          <w:color w:val="auto"/>
          <w:sz w:val="24"/>
          <w:highlight w:val="none"/>
          <w:lang w:val="zh-CN"/>
        </w:rPr>
      </w:pPr>
      <w:bookmarkStart w:id="164" w:name="_Toc1125"/>
      <w:bookmarkStart w:id="165" w:name="_Toc6596"/>
      <w:bookmarkStart w:id="166" w:name="_Toc14563"/>
      <w:r>
        <w:rPr>
          <w:rFonts w:hint="eastAsia" w:ascii="宋体" w:hAnsi="宋体"/>
          <w:b/>
          <w:bCs/>
          <w:color w:val="auto"/>
          <w:sz w:val="24"/>
          <w:highlight w:val="none"/>
          <w:lang w:val="zh-CN"/>
        </w:rPr>
        <w:t>2.1</w:t>
      </w:r>
      <w:r>
        <w:rPr>
          <w:rFonts w:ascii="宋体" w:hAnsi="宋体"/>
          <w:b/>
          <w:bCs/>
          <w:color w:val="auto"/>
          <w:sz w:val="24"/>
          <w:highlight w:val="none"/>
          <w:lang w:val="zh-CN"/>
        </w:rPr>
        <w:t>5</w:t>
      </w:r>
      <w:r>
        <w:rPr>
          <w:rFonts w:hint="eastAsia" w:ascii="宋体" w:hAnsi="宋体"/>
          <w:b/>
          <w:bCs/>
          <w:color w:val="auto"/>
          <w:sz w:val="24"/>
          <w:highlight w:val="none"/>
          <w:lang w:val="zh-CN"/>
        </w:rPr>
        <w:t xml:space="preserve"> 检验和验收</w:t>
      </w:r>
      <w:bookmarkEnd w:id="164"/>
      <w:bookmarkEnd w:id="165"/>
      <w:bookmarkEnd w:id="166"/>
    </w:p>
    <w:p w14:paraId="677A22F5">
      <w:pPr>
        <w:spacing w:line="360" w:lineRule="auto"/>
        <w:ind w:firstLine="435"/>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1</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1乙方按照</w:t>
      </w:r>
      <w:r>
        <w:rPr>
          <w:rFonts w:ascii="宋体" w:hAnsi="宋体"/>
          <w:b/>
          <w:i/>
          <w:color w:val="auto"/>
          <w:sz w:val="24"/>
          <w:highlight w:val="none"/>
          <w:u w:val="single"/>
        </w:rPr>
        <w:t>合同专用条款</w:t>
      </w:r>
      <w:r>
        <w:rPr>
          <w:rFonts w:ascii="宋体" w:hAnsi="宋体"/>
          <w:color w:val="auto"/>
          <w:sz w:val="24"/>
          <w:highlight w:val="none"/>
        </w:rPr>
        <w:t>的约定</w:t>
      </w:r>
      <w:r>
        <w:rPr>
          <w:rFonts w:hint="eastAsia" w:ascii="宋体" w:hAnsi="宋体"/>
          <w:color w:val="auto"/>
          <w:sz w:val="24"/>
          <w:highlight w:val="none"/>
        </w:rPr>
        <w:t>，</w:t>
      </w:r>
      <w:r>
        <w:rPr>
          <w:rFonts w:ascii="宋体" w:hAnsi="宋体"/>
          <w:color w:val="auto"/>
          <w:sz w:val="24"/>
          <w:highlight w:val="none"/>
        </w:rPr>
        <w:t>定期提交服务报告</w:t>
      </w:r>
      <w:r>
        <w:rPr>
          <w:rFonts w:hint="eastAsia" w:ascii="宋体" w:hAnsi="宋体"/>
          <w:color w:val="auto"/>
          <w:sz w:val="24"/>
          <w:highlight w:val="none"/>
        </w:rPr>
        <w:t>，甲方按照</w:t>
      </w:r>
      <w:r>
        <w:rPr>
          <w:rFonts w:ascii="宋体" w:hAnsi="宋体"/>
          <w:b/>
          <w:i/>
          <w:color w:val="auto"/>
          <w:sz w:val="24"/>
          <w:highlight w:val="none"/>
          <w:u w:val="single"/>
        </w:rPr>
        <w:t>合同专用条款</w:t>
      </w:r>
      <w:r>
        <w:rPr>
          <w:rFonts w:ascii="宋体" w:hAnsi="宋体"/>
          <w:color w:val="auto"/>
          <w:sz w:val="24"/>
          <w:highlight w:val="none"/>
        </w:rPr>
        <w:t>的约定进行定期验收</w:t>
      </w:r>
      <w:r>
        <w:rPr>
          <w:rFonts w:hint="eastAsia" w:ascii="宋体" w:hAnsi="宋体"/>
          <w:color w:val="auto"/>
          <w:sz w:val="24"/>
          <w:highlight w:val="none"/>
        </w:rPr>
        <w:t>；</w:t>
      </w:r>
    </w:p>
    <w:p w14:paraId="6B7D845D">
      <w:pPr>
        <w:spacing w:line="360" w:lineRule="auto"/>
        <w:ind w:firstLine="435"/>
        <w:rPr>
          <w:rFonts w:hint="eastAsia" w:ascii="宋体" w:hAnsi="宋体"/>
          <w:color w:val="auto"/>
          <w:sz w:val="24"/>
          <w:highlight w:val="none"/>
        </w:rPr>
      </w:pPr>
      <w:r>
        <w:rPr>
          <w:rFonts w:hint="eastAsia" w:ascii="宋体" w:hAnsi="宋体"/>
          <w:color w:val="auto"/>
          <w:sz w:val="24"/>
          <w:highlight w:val="none"/>
        </w:rPr>
        <w:t>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08FE1FC7">
      <w:pPr>
        <w:spacing w:line="360" w:lineRule="auto"/>
        <w:ind w:firstLine="435"/>
        <w:rPr>
          <w:rFonts w:hint="eastAsia" w:ascii="宋体" w:hAnsi="宋体"/>
          <w:color w:val="auto"/>
          <w:sz w:val="24"/>
          <w:highlight w:val="none"/>
        </w:rPr>
      </w:pPr>
      <w:r>
        <w:rPr>
          <w:rFonts w:hint="eastAsia" w:ascii="宋体" w:hAnsi="宋体"/>
          <w:color w:val="auto"/>
          <w:sz w:val="24"/>
          <w:highlight w:val="none"/>
        </w:rPr>
        <w:t>2.15.3检验和验收标准、程序等具体内容以及前述验收书的效力详见</w:t>
      </w:r>
      <w:r>
        <w:rPr>
          <w:rFonts w:ascii="宋体" w:hAnsi="宋体"/>
          <w:b/>
          <w:i/>
          <w:color w:val="auto"/>
          <w:sz w:val="24"/>
          <w:highlight w:val="none"/>
          <w:u w:val="single"/>
        </w:rPr>
        <w:t>合同专用条款</w:t>
      </w:r>
      <w:r>
        <w:rPr>
          <w:rFonts w:hint="eastAsia" w:ascii="宋体" w:hAnsi="宋体"/>
          <w:i/>
          <w:color w:val="auto"/>
          <w:sz w:val="24"/>
          <w:highlight w:val="none"/>
        </w:rPr>
        <w:t>。</w:t>
      </w:r>
    </w:p>
    <w:bookmarkEnd w:id="136"/>
    <w:bookmarkEnd w:id="137"/>
    <w:bookmarkEnd w:id="138"/>
    <w:bookmarkEnd w:id="139"/>
    <w:p w14:paraId="78BC0D03">
      <w:pPr>
        <w:spacing w:line="360" w:lineRule="auto"/>
        <w:ind w:firstLine="437"/>
        <w:rPr>
          <w:rFonts w:hint="eastAsia" w:ascii="宋体" w:hAnsi="宋体"/>
          <w:b/>
          <w:bCs/>
          <w:color w:val="auto"/>
          <w:sz w:val="24"/>
          <w:highlight w:val="none"/>
        </w:rPr>
      </w:pPr>
      <w:bookmarkStart w:id="167" w:name="_Toc10330"/>
      <w:bookmarkStart w:id="168" w:name="_Toc487900373"/>
      <w:bookmarkStart w:id="169" w:name="_Toc279701263"/>
      <w:bookmarkStart w:id="170" w:name="_Toc18567"/>
      <w:bookmarkStart w:id="171" w:name="_Toc259093692"/>
      <w:bookmarkStart w:id="172" w:name="_Toc12773"/>
      <w:r>
        <w:rPr>
          <w:rFonts w:hint="eastAsia" w:ascii="宋体" w:hAnsi="宋体"/>
          <w:b/>
          <w:bCs/>
          <w:color w:val="auto"/>
          <w:sz w:val="24"/>
          <w:highlight w:val="none"/>
        </w:rPr>
        <w:t>2.</w:t>
      </w:r>
      <w:r>
        <w:rPr>
          <w:rFonts w:ascii="宋体" w:hAnsi="宋体"/>
          <w:b/>
          <w:bCs/>
          <w:color w:val="auto"/>
          <w:sz w:val="24"/>
          <w:highlight w:val="none"/>
        </w:rPr>
        <w:t>16</w:t>
      </w:r>
      <w:r>
        <w:rPr>
          <w:rFonts w:hint="eastAsia" w:ascii="宋体" w:hAnsi="宋体"/>
          <w:b/>
          <w:bCs/>
          <w:color w:val="auto"/>
          <w:sz w:val="24"/>
          <w:highlight w:val="none"/>
        </w:rPr>
        <w:t xml:space="preserve"> </w:t>
      </w:r>
      <w:r>
        <w:rPr>
          <w:rFonts w:hint="eastAsia" w:ascii="宋体" w:hAnsi="宋体"/>
          <w:b/>
          <w:bCs/>
          <w:color w:val="auto"/>
          <w:sz w:val="24"/>
          <w:highlight w:val="none"/>
          <w:lang w:val="zh-CN"/>
        </w:rPr>
        <w:t>合同使用的文字和</w:t>
      </w:r>
      <w:r>
        <w:rPr>
          <w:rFonts w:ascii="宋体" w:hAnsi="宋体"/>
          <w:b/>
          <w:bCs/>
          <w:color w:val="auto"/>
          <w:sz w:val="24"/>
          <w:highlight w:val="none"/>
          <w:lang w:val="zh-CN"/>
        </w:rPr>
        <w:t>适用的法律</w:t>
      </w:r>
      <w:bookmarkEnd w:id="167"/>
      <w:bookmarkEnd w:id="168"/>
      <w:bookmarkEnd w:id="169"/>
      <w:bookmarkEnd w:id="170"/>
      <w:bookmarkEnd w:id="171"/>
      <w:bookmarkEnd w:id="172"/>
    </w:p>
    <w:p w14:paraId="7F09175F">
      <w:pPr>
        <w:spacing w:line="360" w:lineRule="auto"/>
        <w:ind w:firstLine="435"/>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16.1合同使用汉语</w:t>
      </w:r>
      <w:r>
        <w:rPr>
          <w:rFonts w:hint="eastAsia" w:ascii="宋体" w:hAnsi="宋体"/>
          <w:color w:val="auto"/>
          <w:sz w:val="24"/>
          <w:highlight w:val="none"/>
          <w:lang w:val="en-US" w:eastAsia="zh-CN"/>
        </w:rPr>
        <w:t>写</w:t>
      </w:r>
      <w:r>
        <w:rPr>
          <w:rFonts w:hint="eastAsia" w:ascii="宋体" w:hAnsi="宋体"/>
          <w:color w:val="auto"/>
          <w:sz w:val="24"/>
          <w:highlight w:val="none"/>
        </w:rPr>
        <w:t>、</w:t>
      </w:r>
      <w:r>
        <w:rPr>
          <w:rFonts w:ascii="宋体" w:hAnsi="宋体"/>
          <w:color w:val="auto"/>
          <w:sz w:val="24"/>
          <w:highlight w:val="none"/>
        </w:rPr>
        <w:t>变更和解释</w:t>
      </w:r>
      <w:r>
        <w:rPr>
          <w:rFonts w:hint="eastAsia" w:ascii="宋体" w:hAnsi="宋体"/>
          <w:color w:val="auto"/>
          <w:sz w:val="24"/>
          <w:highlight w:val="none"/>
        </w:rPr>
        <w:t>；</w:t>
      </w:r>
    </w:p>
    <w:p w14:paraId="1797E2A3">
      <w:pPr>
        <w:spacing w:line="360" w:lineRule="auto"/>
        <w:ind w:firstLine="435"/>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16</w:t>
      </w:r>
      <w:r>
        <w:rPr>
          <w:rFonts w:hint="eastAsia" w:ascii="宋体" w:hAnsi="宋体"/>
          <w:color w:val="auto"/>
          <w:sz w:val="24"/>
          <w:highlight w:val="none"/>
        </w:rPr>
        <w:t>.2合同适用</w:t>
      </w:r>
      <w:r>
        <w:rPr>
          <w:rFonts w:ascii="宋体" w:hAnsi="宋体"/>
          <w:color w:val="auto"/>
          <w:sz w:val="24"/>
          <w:highlight w:val="none"/>
        </w:rPr>
        <w:t>中华人民共和国法律。</w:t>
      </w:r>
    </w:p>
    <w:p w14:paraId="5CFB4678">
      <w:pPr>
        <w:spacing w:line="360" w:lineRule="auto"/>
        <w:ind w:firstLine="437"/>
        <w:rPr>
          <w:rFonts w:hint="eastAsia" w:ascii="宋体" w:hAnsi="宋体"/>
          <w:b/>
          <w:color w:val="auto"/>
          <w:sz w:val="24"/>
          <w:highlight w:val="none"/>
        </w:rPr>
      </w:pPr>
      <w:bookmarkStart w:id="173" w:name="_Toc279701264"/>
      <w:bookmarkStart w:id="174" w:name="_Toc259093693"/>
      <w:bookmarkStart w:id="175" w:name="_Toc3148"/>
      <w:bookmarkStart w:id="176" w:name="_Toc12004"/>
      <w:bookmarkStart w:id="177" w:name="_Toc16673"/>
      <w:bookmarkStart w:id="178" w:name="_Toc487900374"/>
      <w:r>
        <w:rPr>
          <w:rFonts w:hint="eastAsia" w:ascii="宋体" w:hAnsi="宋体"/>
          <w:b/>
          <w:bCs/>
          <w:color w:val="auto"/>
          <w:sz w:val="24"/>
          <w:highlight w:val="none"/>
          <w:lang w:val="zh-CN"/>
        </w:rPr>
        <w:t>2.</w:t>
      </w:r>
      <w:r>
        <w:rPr>
          <w:rFonts w:ascii="宋体" w:hAnsi="宋体"/>
          <w:b/>
          <w:bCs/>
          <w:color w:val="auto"/>
          <w:sz w:val="24"/>
          <w:highlight w:val="none"/>
          <w:lang w:val="zh-CN"/>
        </w:rPr>
        <w:t>17</w:t>
      </w:r>
      <w:r>
        <w:rPr>
          <w:rFonts w:hint="eastAsia" w:ascii="宋体" w:hAnsi="宋体"/>
          <w:b/>
          <w:bCs/>
          <w:color w:val="auto"/>
          <w:sz w:val="24"/>
          <w:highlight w:val="none"/>
          <w:lang w:val="zh-CN"/>
        </w:rPr>
        <w:t xml:space="preserve"> </w:t>
      </w:r>
      <w:r>
        <w:rPr>
          <w:rFonts w:ascii="宋体" w:hAnsi="宋体"/>
          <w:b/>
          <w:bCs/>
          <w:color w:val="auto"/>
          <w:sz w:val="24"/>
          <w:highlight w:val="none"/>
          <w:lang w:val="zh-CN"/>
        </w:rPr>
        <w:t>履约保证金</w:t>
      </w:r>
      <w:bookmarkEnd w:id="173"/>
      <w:bookmarkEnd w:id="174"/>
      <w:bookmarkEnd w:id="175"/>
      <w:bookmarkEnd w:id="176"/>
      <w:bookmarkEnd w:id="177"/>
    </w:p>
    <w:p w14:paraId="42371E9A">
      <w:pPr>
        <w:spacing w:line="360" w:lineRule="auto"/>
        <w:ind w:firstLine="435"/>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17</w:t>
      </w:r>
      <w:r>
        <w:rPr>
          <w:rFonts w:hint="eastAsia" w:ascii="宋体" w:hAnsi="宋体"/>
          <w:color w:val="auto"/>
          <w:sz w:val="24"/>
          <w:highlight w:val="none"/>
        </w:rPr>
        <w:t>.1采购文件要求乙方提交履约保证金的，乙方</w:t>
      </w:r>
      <w:r>
        <w:rPr>
          <w:rFonts w:ascii="宋体" w:hAnsi="宋体"/>
          <w:color w:val="auto"/>
          <w:sz w:val="24"/>
          <w:highlight w:val="none"/>
        </w:rPr>
        <w:t>应按</w:t>
      </w:r>
      <w:r>
        <w:rPr>
          <w:rFonts w:ascii="宋体" w:hAnsi="宋体"/>
          <w:b/>
          <w:i/>
          <w:color w:val="auto"/>
          <w:sz w:val="24"/>
          <w:highlight w:val="none"/>
          <w:u w:val="single"/>
        </w:rPr>
        <w:t>合同专用条款</w:t>
      </w:r>
      <w:r>
        <w:rPr>
          <w:rFonts w:ascii="宋体" w:hAnsi="宋体"/>
          <w:color w:val="auto"/>
          <w:sz w:val="24"/>
          <w:highlight w:val="none"/>
        </w:rPr>
        <w:t>约定的方式</w:t>
      </w:r>
      <w:r>
        <w:rPr>
          <w:rFonts w:hint="eastAsia" w:ascii="宋体" w:hAnsi="宋体"/>
          <w:color w:val="auto"/>
          <w:sz w:val="24"/>
          <w:highlight w:val="none"/>
        </w:rPr>
        <w:t>，以支票、汇票、本票或者金融机构、担保机构出具的保函等非现金形式提交；</w:t>
      </w:r>
    </w:p>
    <w:p w14:paraId="51A9E5F0">
      <w:pPr>
        <w:spacing w:line="360" w:lineRule="auto"/>
        <w:ind w:firstLine="435"/>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17.2履约保证金在</w:t>
      </w:r>
      <w:r>
        <w:rPr>
          <w:rFonts w:ascii="宋体" w:hAnsi="宋体"/>
          <w:b/>
          <w:i/>
          <w:color w:val="auto"/>
          <w:sz w:val="24"/>
          <w:highlight w:val="none"/>
          <w:u w:val="single"/>
        </w:rPr>
        <w:t>合同专用条款</w:t>
      </w:r>
      <w:r>
        <w:rPr>
          <w:rFonts w:ascii="宋体" w:hAnsi="宋体"/>
          <w:color w:val="auto"/>
          <w:sz w:val="24"/>
          <w:highlight w:val="none"/>
        </w:rPr>
        <w:t>约定期间内不予退还或者应完全有效</w:t>
      </w:r>
      <w:r>
        <w:rPr>
          <w:rFonts w:hint="eastAsia" w:ascii="宋体" w:hAnsi="宋体"/>
          <w:color w:val="auto"/>
          <w:sz w:val="24"/>
          <w:highlight w:val="none"/>
        </w:rPr>
        <w:t>，前述约定期间届满</w:t>
      </w:r>
      <w:r>
        <w:rPr>
          <w:rFonts w:ascii="宋体" w:hAnsi="宋体"/>
          <w:color w:val="auto"/>
          <w:sz w:val="24"/>
          <w:highlight w:val="none"/>
        </w:rPr>
        <w:t>之日起</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个</w:t>
      </w:r>
      <w:r>
        <w:rPr>
          <w:rFonts w:ascii="宋体" w:hAnsi="宋体"/>
          <w:color w:val="auto"/>
          <w:sz w:val="24"/>
          <w:highlight w:val="none"/>
        </w:rPr>
        <w:t>工作日内，甲方应将履约保证金退还乙方</w:t>
      </w:r>
      <w:r>
        <w:rPr>
          <w:rFonts w:hint="eastAsia" w:ascii="宋体" w:hAnsi="宋体"/>
          <w:color w:val="auto"/>
          <w:sz w:val="24"/>
          <w:highlight w:val="none"/>
        </w:rPr>
        <w:t>，甲方逾期退还履约保证金应承担违约责任。</w:t>
      </w:r>
    </w:p>
    <w:p w14:paraId="6E4ACC02">
      <w:pPr>
        <w:spacing w:line="360" w:lineRule="auto"/>
        <w:ind w:firstLine="435"/>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17</w:t>
      </w:r>
      <w:r>
        <w:rPr>
          <w:rFonts w:hint="eastAsia" w:ascii="宋体" w:hAnsi="宋体"/>
          <w:color w:val="auto"/>
          <w:sz w:val="24"/>
          <w:highlight w:val="none"/>
        </w:rPr>
        <w:t>.3</w:t>
      </w:r>
      <w:r>
        <w:rPr>
          <w:rFonts w:ascii="宋体" w:hAnsi="宋体"/>
          <w:color w:val="auto"/>
          <w:sz w:val="24"/>
          <w:highlight w:val="none"/>
        </w:rPr>
        <w:t>如果乙方不履行合同</w:t>
      </w:r>
      <w:r>
        <w:rPr>
          <w:rFonts w:hint="eastAsia" w:ascii="宋体" w:hAnsi="宋体"/>
          <w:color w:val="auto"/>
          <w:sz w:val="24"/>
          <w:highlight w:val="none"/>
        </w:rPr>
        <w:t>，履约保证金不予退还；如果乙方</w:t>
      </w:r>
      <w:r>
        <w:rPr>
          <w:rFonts w:ascii="宋体" w:hAnsi="宋体"/>
          <w:color w:val="auto"/>
          <w:sz w:val="24"/>
          <w:highlight w:val="none"/>
        </w:rPr>
        <w:t>未能按合同</w:t>
      </w:r>
      <w:r>
        <w:rPr>
          <w:rFonts w:hint="eastAsia" w:ascii="宋体" w:hAnsi="宋体"/>
          <w:color w:val="auto"/>
          <w:sz w:val="24"/>
          <w:highlight w:val="none"/>
        </w:rPr>
        <w:t>约</w:t>
      </w:r>
      <w:r>
        <w:rPr>
          <w:rFonts w:ascii="宋体" w:hAnsi="宋体"/>
          <w:color w:val="auto"/>
          <w:sz w:val="24"/>
          <w:highlight w:val="none"/>
        </w:rPr>
        <w:t>定全面履行义务，那么甲方有权从履约保证金中取得补偿或赔偿</w:t>
      </w:r>
      <w:r>
        <w:rPr>
          <w:rFonts w:hint="eastAsia" w:ascii="宋体" w:hAnsi="宋体"/>
          <w:color w:val="auto"/>
          <w:sz w:val="24"/>
          <w:highlight w:val="none"/>
        </w:rPr>
        <w:t>，同时不影响甲方要求乙方承担合同约定的超过履约保证金的违约责任的权利。</w:t>
      </w:r>
    </w:p>
    <w:bookmarkEnd w:id="178"/>
    <w:p w14:paraId="7B918423">
      <w:pPr>
        <w:spacing w:line="360" w:lineRule="auto"/>
        <w:ind w:firstLine="437"/>
        <w:rPr>
          <w:rFonts w:hint="eastAsia" w:ascii="宋体" w:hAnsi="宋体"/>
          <w:b/>
          <w:color w:val="auto"/>
          <w:sz w:val="24"/>
          <w:highlight w:val="none"/>
        </w:rPr>
      </w:pPr>
      <w:bookmarkStart w:id="179" w:name="_Toc19890"/>
      <w:bookmarkStart w:id="180" w:name="_Toc6885"/>
      <w:bookmarkStart w:id="181" w:name="_Toc14001"/>
      <w:r>
        <w:rPr>
          <w:rFonts w:hint="eastAsia" w:ascii="宋体" w:hAnsi="宋体"/>
          <w:b/>
          <w:bCs/>
          <w:color w:val="auto"/>
          <w:sz w:val="24"/>
          <w:highlight w:val="none"/>
          <w:lang w:val="zh-CN"/>
        </w:rPr>
        <w:t>2.</w:t>
      </w:r>
      <w:r>
        <w:rPr>
          <w:rFonts w:ascii="宋体" w:hAnsi="宋体"/>
          <w:b/>
          <w:bCs/>
          <w:color w:val="auto"/>
          <w:sz w:val="24"/>
          <w:highlight w:val="none"/>
          <w:lang w:val="zh-CN"/>
        </w:rPr>
        <w:t>18</w:t>
      </w:r>
      <w:r>
        <w:rPr>
          <w:rFonts w:hint="eastAsia" w:ascii="宋体" w:hAnsi="宋体"/>
          <w:b/>
          <w:bCs/>
          <w:color w:val="auto"/>
          <w:sz w:val="24"/>
          <w:highlight w:val="none"/>
          <w:lang w:val="zh-CN"/>
        </w:rPr>
        <w:t xml:space="preserve"> 合同份数</w:t>
      </w:r>
      <w:bookmarkEnd w:id="179"/>
      <w:bookmarkEnd w:id="180"/>
      <w:bookmarkEnd w:id="181"/>
    </w:p>
    <w:p w14:paraId="69123FE2">
      <w:pPr>
        <w:spacing w:line="360" w:lineRule="auto"/>
        <w:ind w:firstLine="435"/>
        <w:rPr>
          <w:rFonts w:hint="eastAsia" w:ascii="宋体" w:hAnsi="宋体"/>
          <w:color w:val="auto"/>
          <w:sz w:val="24"/>
          <w:highlight w:val="none"/>
        </w:rPr>
      </w:pPr>
      <w:r>
        <w:rPr>
          <w:rFonts w:ascii="宋体" w:hAnsi="宋体"/>
          <w:color w:val="auto"/>
          <w:sz w:val="24"/>
          <w:highlight w:val="none"/>
        </w:rPr>
        <w:t>合同份数按</w:t>
      </w:r>
      <w:r>
        <w:rPr>
          <w:rFonts w:ascii="宋体" w:hAnsi="宋体"/>
          <w:b/>
          <w:i/>
          <w:color w:val="auto"/>
          <w:sz w:val="24"/>
          <w:highlight w:val="none"/>
          <w:u w:val="single"/>
        </w:rPr>
        <w:t>合同专用条款</w:t>
      </w:r>
      <w:r>
        <w:rPr>
          <w:rFonts w:ascii="宋体" w:hAnsi="宋体"/>
          <w:color w:val="auto"/>
          <w:sz w:val="24"/>
          <w:highlight w:val="none"/>
        </w:rPr>
        <w:t>规定</w:t>
      </w:r>
      <w:r>
        <w:rPr>
          <w:rFonts w:hint="eastAsia" w:ascii="宋体" w:hAnsi="宋体"/>
          <w:color w:val="auto"/>
          <w:sz w:val="24"/>
          <w:highlight w:val="none"/>
        </w:rPr>
        <w:t>，</w:t>
      </w:r>
      <w:r>
        <w:rPr>
          <w:rFonts w:ascii="宋体" w:hAnsi="宋体"/>
          <w:color w:val="auto"/>
          <w:sz w:val="24"/>
          <w:highlight w:val="none"/>
        </w:rPr>
        <w:t>每份均具有同等法律效力</w:t>
      </w:r>
      <w:r>
        <w:rPr>
          <w:rFonts w:hint="eastAsia" w:ascii="宋体" w:hAnsi="宋体"/>
          <w:color w:val="auto"/>
          <w:sz w:val="24"/>
          <w:highlight w:val="none"/>
        </w:rPr>
        <w:t>。</w:t>
      </w:r>
    </w:p>
    <w:p w14:paraId="76D8CED5">
      <w:pPr>
        <w:spacing w:line="360" w:lineRule="auto"/>
        <w:jc w:val="center"/>
        <w:rPr>
          <w:rFonts w:hint="eastAsia" w:ascii="宋体" w:hAnsi="宋体"/>
          <w:b/>
          <w:color w:val="auto"/>
          <w:sz w:val="24"/>
          <w:highlight w:val="none"/>
        </w:rPr>
      </w:pPr>
      <w:r>
        <w:rPr>
          <w:rFonts w:ascii="宋体" w:hAnsi="宋体"/>
          <w:color w:val="auto"/>
          <w:sz w:val="24"/>
          <w:highlight w:val="none"/>
        </w:rPr>
        <w:br w:type="page"/>
      </w:r>
      <w:bookmarkStart w:id="182" w:name="_Toc331685784"/>
      <w:r>
        <w:rPr>
          <w:rFonts w:hint="eastAsia" w:ascii="宋体" w:hAnsi="宋体"/>
          <w:b/>
          <w:color w:val="auto"/>
          <w:sz w:val="24"/>
          <w:highlight w:val="none"/>
        </w:rPr>
        <w:t>第三部分</w:t>
      </w:r>
      <w:r>
        <w:rPr>
          <w:rFonts w:ascii="宋体" w:hAnsi="宋体"/>
          <w:b/>
          <w:color w:val="auto"/>
          <w:sz w:val="24"/>
          <w:highlight w:val="none"/>
        </w:rPr>
        <w:t xml:space="preserve"> </w:t>
      </w:r>
      <w:r>
        <w:rPr>
          <w:rFonts w:hint="eastAsia" w:ascii="宋体" w:hAnsi="宋体"/>
          <w:b/>
          <w:color w:val="auto"/>
          <w:sz w:val="24"/>
          <w:highlight w:val="none"/>
        </w:rPr>
        <w:t>合同专用条款</w:t>
      </w:r>
      <w:bookmarkEnd w:id="182"/>
    </w:p>
    <w:p w14:paraId="39A0F40A">
      <w:pPr>
        <w:spacing w:line="360" w:lineRule="auto"/>
        <w:ind w:firstLine="435"/>
        <w:rPr>
          <w:rFonts w:hint="eastAsia" w:ascii="宋体" w:hAnsi="宋体"/>
          <w:color w:val="auto"/>
          <w:sz w:val="24"/>
          <w:highlight w:val="none"/>
        </w:rPr>
      </w:pPr>
      <w:r>
        <w:rPr>
          <w:rFonts w:hint="eastAsia" w:ascii="宋体" w:hAnsi="宋体"/>
          <w:color w:val="auto"/>
          <w:sz w:val="24"/>
          <w:highlight w:val="none"/>
        </w:rPr>
        <w:t>本部分</w:t>
      </w:r>
      <w:r>
        <w:rPr>
          <w:rFonts w:ascii="宋体" w:hAnsi="宋体"/>
          <w:color w:val="auto"/>
          <w:sz w:val="24"/>
          <w:highlight w:val="none"/>
        </w:rPr>
        <w:t>是对</w:t>
      </w:r>
      <w:r>
        <w:rPr>
          <w:rFonts w:hint="eastAsia" w:ascii="宋体" w:hAnsi="宋体"/>
          <w:color w:val="auto"/>
          <w:sz w:val="24"/>
          <w:highlight w:val="none"/>
        </w:rPr>
        <w:t>前两</w:t>
      </w:r>
      <w:r>
        <w:rPr>
          <w:rFonts w:ascii="宋体" w:hAnsi="宋体"/>
          <w:color w:val="auto"/>
          <w:sz w:val="24"/>
          <w:highlight w:val="none"/>
        </w:rPr>
        <w:t>部分的补充和修改</w:t>
      </w:r>
      <w:r>
        <w:rPr>
          <w:rFonts w:hint="eastAsia" w:ascii="宋体" w:hAnsi="宋体"/>
          <w:color w:val="auto"/>
          <w:sz w:val="24"/>
          <w:highlight w:val="none"/>
        </w:rPr>
        <w:t>，</w:t>
      </w:r>
      <w:r>
        <w:rPr>
          <w:rFonts w:ascii="宋体" w:hAnsi="宋体"/>
          <w:color w:val="auto"/>
          <w:sz w:val="24"/>
          <w:highlight w:val="none"/>
        </w:rPr>
        <w:t>如果</w:t>
      </w:r>
      <w:r>
        <w:rPr>
          <w:rFonts w:hint="eastAsia" w:ascii="宋体" w:hAnsi="宋体"/>
          <w:color w:val="auto"/>
          <w:sz w:val="24"/>
          <w:highlight w:val="none"/>
        </w:rPr>
        <w:t>前两</w:t>
      </w:r>
      <w:r>
        <w:rPr>
          <w:rFonts w:ascii="宋体" w:hAnsi="宋体"/>
          <w:color w:val="auto"/>
          <w:sz w:val="24"/>
          <w:highlight w:val="none"/>
        </w:rPr>
        <w:t>部分和本部分的约定不一致</w:t>
      </w:r>
      <w:r>
        <w:rPr>
          <w:rFonts w:hint="eastAsia" w:ascii="宋体" w:hAnsi="宋体"/>
          <w:color w:val="auto"/>
          <w:sz w:val="24"/>
          <w:highlight w:val="none"/>
        </w:rPr>
        <w:t>，</w:t>
      </w:r>
      <w:r>
        <w:rPr>
          <w:rFonts w:ascii="宋体" w:hAnsi="宋体"/>
          <w:color w:val="auto"/>
          <w:sz w:val="24"/>
          <w:highlight w:val="none"/>
        </w:rPr>
        <w:t>应以本部分的约定为准</w:t>
      </w:r>
      <w:r>
        <w:rPr>
          <w:rFonts w:hint="eastAsia" w:ascii="宋体" w:hAnsi="宋体"/>
          <w:color w:val="auto"/>
          <w:sz w:val="24"/>
          <w:highlight w:val="none"/>
        </w:rPr>
        <w:t>。</w:t>
      </w:r>
      <w:r>
        <w:rPr>
          <w:rFonts w:ascii="宋体" w:hAnsi="宋体"/>
          <w:color w:val="auto"/>
          <w:sz w:val="24"/>
          <w:highlight w:val="none"/>
        </w:rPr>
        <w:t>本部分的条款号应与</w:t>
      </w:r>
      <w:r>
        <w:rPr>
          <w:rFonts w:hint="eastAsia" w:ascii="宋体" w:hAnsi="宋体"/>
          <w:color w:val="auto"/>
          <w:sz w:val="24"/>
          <w:highlight w:val="none"/>
        </w:rPr>
        <w:t>前两部分</w:t>
      </w:r>
      <w:r>
        <w:rPr>
          <w:rFonts w:ascii="宋体" w:hAnsi="宋体"/>
          <w:color w:val="auto"/>
          <w:sz w:val="24"/>
          <w:highlight w:val="none"/>
        </w:rPr>
        <w:t>的条款号保持对应</w:t>
      </w:r>
      <w:r>
        <w:rPr>
          <w:rFonts w:hint="eastAsia" w:ascii="宋体" w:hAnsi="宋体"/>
          <w:color w:val="auto"/>
          <w:sz w:val="24"/>
          <w:highlight w:val="none"/>
        </w:rPr>
        <w:t>；与前两部分</w:t>
      </w:r>
      <w:r>
        <w:rPr>
          <w:rFonts w:ascii="宋体" w:hAnsi="宋体"/>
          <w:color w:val="auto"/>
          <w:sz w:val="24"/>
          <w:highlight w:val="none"/>
        </w:rPr>
        <w:t>无对应关系的内容可另行编制条款号</w:t>
      </w:r>
      <w:r>
        <w:rPr>
          <w:rFonts w:hint="eastAsia" w:ascii="宋体" w:hAnsi="宋体"/>
          <w:color w:val="auto"/>
          <w:sz w:val="24"/>
          <w:highlight w:val="none"/>
        </w:rPr>
        <w:t>。</w:t>
      </w:r>
    </w:p>
    <w:tbl>
      <w:tblPr>
        <w:tblStyle w:val="7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95"/>
        <w:gridCol w:w="7573"/>
      </w:tblGrid>
      <w:tr w14:paraId="274320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795" w:type="dxa"/>
            <w:tcBorders>
              <w:left w:val="single" w:color="auto" w:sz="4" w:space="0"/>
            </w:tcBorders>
            <w:vAlign w:val="center"/>
          </w:tcPr>
          <w:p w14:paraId="1A6C361B">
            <w:pPr>
              <w:jc w:val="center"/>
              <w:rPr>
                <w:rFonts w:hint="eastAsia" w:ascii="宋体" w:hAnsi="宋体"/>
                <w:b/>
                <w:color w:val="auto"/>
                <w:sz w:val="24"/>
                <w:highlight w:val="none"/>
              </w:rPr>
            </w:pPr>
            <w:r>
              <w:rPr>
                <w:rFonts w:ascii="宋体" w:hAnsi="宋体"/>
                <w:b/>
                <w:color w:val="auto"/>
                <w:sz w:val="24"/>
                <w:highlight w:val="none"/>
              </w:rPr>
              <w:t>条款号</w:t>
            </w:r>
          </w:p>
        </w:tc>
        <w:tc>
          <w:tcPr>
            <w:tcW w:w="7573" w:type="dxa"/>
            <w:vAlign w:val="center"/>
          </w:tcPr>
          <w:p w14:paraId="311D9373">
            <w:pPr>
              <w:jc w:val="center"/>
              <w:rPr>
                <w:rFonts w:hint="eastAsia" w:ascii="宋体" w:hAnsi="宋体"/>
                <w:b/>
                <w:color w:val="auto"/>
                <w:sz w:val="24"/>
                <w:highlight w:val="none"/>
              </w:rPr>
            </w:pPr>
            <w:r>
              <w:rPr>
                <w:rFonts w:ascii="宋体" w:hAnsi="宋体"/>
                <w:b/>
                <w:color w:val="auto"/>
                <w:sz w:val="24"/>
                <w:highlight w:val="none"/>
              </w:rPr>
              <w:t>约定内容</w:t>
            </w:r>
          </w:p>
        </w:tc>
      </w:tr>
      <w:tr w14:paraId="5B95A1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795" w:type="dxa"/>
            <w:tcBorders>
              <w:left w:val="single" w:color="auto" w:sz="4" w:space="0"/>
            </w:tcBorders>
            <w:vAlign w:val="center"/>
          </w:tcPr>
          <w:p w14:paraId="2653767E">
            <w:pPr>
              <w:pageBreakBefore w:val="0"/>
              <w:kinsoku/>
              <w:wordWrap/>
              <w:overflowPunct/>
              <w:topLinePunct w:val="0"/>
              <w:bidi w:val="0"/>
              <w:spacing w:line="560" w:lineRule="exact"/>
              <w:ind w:left="0" w:leftChars="0" w:right="0" w:rightChars="0"/>
              <w:textAlignment w:val="auto"/>
              <w:rPr>
                <w:rFonts w:hint="eastAsia" w:ascii="宋体" w:hAnsi="宋体"/>
                <w:color w:val="auto"/>
                <w:sz w:val="24"/>
                <w:highlight w:val="none"/>
              </w:rPr>
            </w:pPr>
            <w:r>
              <w:rPr>
                <w:rFonts w:hint="eastAsia" w:ascii="宋体" w:hAnsi="宋体" w:eastAsia="宋体"/>
                <w:color w:val="auto"/>
                <w:sz w:val="24"/>
                <w:highlight w:val="none"/>
                <w:lang w:val="en-US" w:eastAsia="zh-CN"/>
              </w:rPr>
              <w:t>1.7</w:t>
            </w:r>
          </w:p>
        </w:tc>
        <w:tc>
          <w:tcPr>
            <w:tcW w:w="7573" w:type="dxa"/>
            <w:vAlign w:val="center"/>
          </w:tcPr>
          <w:p w14:paraId="7B0A6AD4">
            <w:pPr>
              <w:pageBreakBefore w:val="0"/>
              <w:kinsoku/>
              <w:wordWrap/>
              <w:overflowPunct/>
              <w:topLinePunct w:val="0"/>
              <w:bidi w:val="0"/>
              <w:spacing w:line="360" w:lineRule="auto"/>
              <w:ind w:right="0" w:rightChars="0"/>
              <w:textAlignment w:val="auto"/>
              <w:rPr>
                <w:rFonts w:ascii="宋体" w:hAnsi="宋体" w:eastAsia="宋体"/>
                <w:color w:val="auto"/>
                <w:sz w:val="24"/>
                <w:highlight w:val="none"/>
              </w:rPr>
            </w:pPr>
            <w:r>
              <w:rPr>
                <w:rFonts w:hint="eastAsia" w:ascii="宋体" w:hAnsi="宋体" w:eastAsia="宋体"/>
                <w:color w:val="auto"/>
                <w:sz w:val="24"/>
                <w:highlight w:val="none"/>
              </w:rPr>
              <w:t>本合</w:t>
            </w:r>
            <w:r>
              <w:rPr>
                <w:rFonts w:ascii="宋体" w:hAnsi="宋体" w:eastAsia="宋体"/>
                <w:color w:val="auto"/>
                <w:sz w:val="24"/>
                <w:highlight w:val="none"/>
              </w:rPr>
              <w:t>同履行过程中发生的任何争议，双方当事人均可</w:t>
            </w:r>
            <w:r>
              <w:rPr>
                <w:rFonts w:hint="eastAsia" w:ascii="宋体" w:hAnsi="宋体" w:eastAsia="宋体"/>
                <w:color w:val="auto"/>
                <w:sz w:val="24"/>
                <w:highlight w:val="none"/>
              </w:rPr>
              <w:t>通过和解或者调解解决；不愿和解、调解或者和解、调解不成的，可以选择下列第</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u w:val="single"/>
                <w:lang w:val="en-US" w:eastAsia="zh-CN"/>
              </w:rPr>
              <w:t>1.7.2</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种方式解决：</w:t>
            </w:r>
          </w:p>
          <w:p w14:paraId="538FD559">
            <w:pPr>
              <w:pageBreakBefore w:val="0"/>
              <w:kinsoku/>
              <w:wordWrap/>
              <w:overflowPunct/>
              <w:topLinePunct w:val="0"/>
              <w:bidi w:val="0"/>
              <w:spacing w:line="360" w:lineRule="auto"/>
              <w:ind w:right="0" w:rightChars="0"/>
              <w:textAlignment w:val="auto"/>
              <w:rPr>
                <w:rFonts w:ascii="宋体" w:hAnsi="宋体" w:eastAsia="宋体"/>
                <w:color w:val="auto"/>
                <w:sz w:val="24"/>
                <w:highlight w:val="none"/>
              </w:rPr>
            </w:pPr>
            <w:r>
              <w:rPr>
                <w:rFonts w:hint="eastAsia" w:ascii="宋体" w:hAnsi="宋体" w:eastAsia="宋体"/>
                <w:color w:val="auto"/>
                <w:sz w:val="24"/>
                <w:highlight w:val="none"/>
              </w:rPr>
              <w:t>1.7.1将争议提交</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u w:val="single"/>
                <w:lang w:val="en-US" w:eastAsia="zh-CN"/>
              </w:rPr>
              <w:t>/</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仲裁委员会依申请仲裁时其现行有效的仲裁规则裁决；</w:t>
            </w:r>
          </w:p>
          <w:p w14:paraId="55C2C1E8">
            <w:pPr>
              <w:pageBreakBefore w:val="0"/>
              <w:kinsoku/>
              <w:wordWrap/>
              <w:overflowPunct/>
              <w:topLinePunct w:val="0"/>
              <w:bidi w:val="0"/>
              <w:spacing w:line="360" w:lineRule="auto"/>
              <w:ind w:right="0" w:rightChars="0"/>
              <w:textAlignment w:val="auto"/>
              <w:rPr>
                <w:rFonts w:hint="eastAsia" w:ascii="宋体" w:hAnsi="宋体"/>
                <w:color w:val="auto"/>
                <w:sz w:val="24"/>
                <w:highlight w:val="none"/>
              </w:rPr>
            </w:pPr>
            <w:r>
              <w:rPr>
                <w:rFonts w:hint="eastAsia" w:ascii="宋体" w:hAnsi="宋体" w:eastAsia="宋体"/>
                <w:color w:val="auto"/>
                <w:sz w:val="24"/>
                <w:highlight w:val="none"/>
              </w:rPr>
              <w:t>1.7.2向</w:t>
            </w:r>
            <w:r>
              <w:rPr>
                <w:rFonts w:hint="eastAsia" w:ascii="宋体" w:hAnsi="宋体" w:eastAsia="宋体"/>
                <w:color w:val="auto"/>
                <w:sz w:val="24"/>
                <w:highlight w:val="none"/>
                <w:u w:val="single"/>
              </w:rPr>
              <w:t xml:space="preserve"> </w:t>
            </w:r>
            <w:r>
              <w:rPr>
                <w:rFonts w:hint="eastAsia" w:ascii="宋体" w:hAnsi="宋体"/>
                <w:color w:val="auto"/>
                <w:sz w:val="24"/>
                <w:highlight w:val="none"/>
                <w:u w:val="single"/>
              </w:rPr>
              <w:t>项目所在地</w:t>
            </w:r>
            <w:r>
              <w:rPr>
                <w:rFonts w:ascii="宋体" w:hAnsi="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人民法院起诉。</w:t>
            </w:r>
          </w:p>
        </w:tc>
      </w:tr>
      <w:tr w14:paraId="05F43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5" w:type="dxa"/>
            <w:tcBorders>
              <w:left w:val="single" w:color="auto" w:sz="4" w:space="0"/>
            </w:tcBorders>
            <w:vAlign w:val="center"/>
          </w:tcPr>
          <w:p w14:paraId="06CBA31B">
            <w:pPr>
              <w:pageBreakBefore w:val="0"/>
              <w:kinsoku/>
              <w:wordWrap/>
              <w:overflowPunct/>
              <w:topLinePunct w:val="0"/>
              <w:bidi w:val="0"/>
              <w:spacing w:line="560" w:lineRule="exact"/>
              <w:ind w:left="0" w:leftChars="0" w:right="0" w:rightChars="0"/>
              <w:textAlignment w:val="auto"/>
              <w:rPr>
                <w:rFonts w:hint="eastAsia" w:ascii="宋体" w:hAnsi="宋体"/>
                <w:color w:val="auto"/>
                <w:sz w:val="24"/>
                <w:highlight w:val="none"/>
              </w:rPr>
            </w:pPr>
            <w:r>
              <w:rPr>
                <w:rFonts w:hint="eastAsia" w:ascii="宋体" w:hAnsi="宋体" w:eastAsia="宋体"/>
                <w:color w:val="auto"/>
                <w:sz w:val="24"/>
                <w:highlight w:val="none"/>
                <w:lang w:val="en-US" w:eastAsia="zh-CN"/>
              </w:rPr>
              <w:t>2.5</w:t>
            </w:r>
          </w:p>
        </w:tc>
        <w:tc>
          <w:tcPr>
            <w:tcW w:w="7573" w:type="dxa"/>
            <w:vAlign w:val="center"/>
          </w:tcPr>
          <w:p w14:paraId="7995A57C">
            <w:pPr>
              <w:pageBreakBefore w:val="0"/>
              <w:kinsoku/>
              <w:wordWrap/>
              <w:overflowPunct/>
              <w:topLinePunct w:val="0"/>
              <w:bidi w:val="0"/>
              <w:spacing w:line="560" w:lineRule="exact"/>
              <w:ind w:left="0" w:leftChars="0" w:right="0" w:rightChars="0"/>
              <w:textAlignment w:val="auto"/>
              <w:rPr>
                <w:rFonts w:hint="eastAsia" w:ascii="宋体" w:hAnsi="宋体"/>
                <w:color w:val="auto"/>
                <w:sz w:val="24"/>
                <w:highlight w:val="none"/>
              </w:rPr>
            </w:pPr>
            <w:r>
              <w:rPr>
                <w:rFonts w:hint="eastAsia" w:ascii="宋体" w:hAnsi="宋体"/>
                <w:b w:val="0"/>
                <w:color w:val="auto"/>
                <w:sz w:val="24"/>
                <w:highlight w:val="none"/>
                <w:u w:val="none"/>
              </w:rPr>
              <w:t>项目成果提交后一次性付清。</w:t>
            </w:r>
          </w:p>
        </w:tc>
      </w:tr>
      <w:tr w14:paraId="26ED4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5" w:type="dxa"/>
            <w:tcBorders>
              <w:left w:val="single" w:color="auto" w:sz="4" w:space="0"/>
            </w:tcBorders>
            <w:vAlign w:val="center"/>
          </w:tcPr>
          <w:p w14:paraId="32DA3024">
            <w:pPr>
              <w:pageBreakBefore w:val="0"/>
              <w:kinsoku/>
              <w:wordWrap/>
              <w:overflowPunct/>
              <w:topLinePunct w:val="0"/>
              <w:bidi w:val="0"/>
              <w:spacing w:line="560" w:lineRule="exact"/>
              <w:ind w:left="0" w:leftChars="0" w:right="0" w:rightChars="0"/>
              <w:textAlignment w:val="auto"/>
              <w:rPr>
                <w:rFonts w:hint="eastAsia" w:ascii="宋体" w:hAnsi="宋体"/>
                <w:color w:val="auto"/>
                <w:sz w:val="24"/>
                <w:highlight w:val="none"/>
              </w:rPr>
            </w:pPr>
            <w:r>
              <w:rPr>
                <w:rFonts w:hint="eastAsia" w:ascii="宋体" w:hAnsi="宋体" w:eastAsia="宋体"/>
                <w:color w:val="auto"/>
                <w:sz w:val="24"/>
                <w:highlight w:val="none"/>
              </w:rPr>
              <w:t>2.1</w:t>
            </w:r>
            <w:r>
              <w:rPr>
                <w:rFonts w:ascii="宋体" w:hAnsi="宋体" w:eastAsia="宋体"/>
                <w:color w:val="auto"/>
                <w:sz w:val="24"/>
                <w:highlight w:val="none"/>
              </w:rPr>
              <w:t>1</w:t>
            </w:r>
            <w:r>
              <w:rPr>
                <w:rFonts w:hint="eastAsia" w:ascii="宋体" w:hAnsi="宋体" w:eastAsia="宋体"/>
                <w:color w:val="auto"/>
                <w:sz w:val="24"/>
                <w:highlight w:val="none"/>
              </w:rPr>
              <w:t>.3</w:t>
            </w:r>
          </w:p>
        </w:tc>
        <w:tc>
          <w:tcPr>
            <w:tcW w:w="7573" w:type="dxa"/>
            <w:vAlign w:val="center"/>
          </w:tcPr>
          <w:p w14:paraId="691DD59E">
            <w:pPr>
              <w:pageBreakBefore w:val="0"/>
              <w:kinsoku/>
              <w:wordWrap/>
              <w:overflowPunct/>
              <w:topLinePunct w:val="0"/>
              <w:bidi w:val="0"/>
              <w:spacing w:line="360" w:lineRule="auto"/>
              <w:ind w:left="0" w:leftChars="0" w:right="0" w:rightChars="0"/>
              <w:textAlignment w:val="auto"/>
              <w:rPr>
                <w:rFonts w:hint="eastAsia" w:ascii="宋体" w:hAnsi="宋体"/>
                <w:color w:val="auto"/>
                <w:sz w:val="24"/>
                <w:highlight w:val="none"/>
              </w:rPr>
            </w:pPr>
            <w:r>
              <w:rPr>
                <w:rFonts w:hint="eastAsia" w:ascii="宋体" w:hAnsi="宋体" w:eastAsia="宋体"/>
                <w:color w:val="auto"/>
                <w:sz w:val="24"/>
                <w:highlight w:val="none"/>
              </w:rPr>
              <w:t>因</w:t>
            </w:r>
            <w:r>
              <w:rPr>
                <w:rFonts w:ascii="宋体" w:hAnsi="宋体" w:eastAsia="宋体"/>
                <w:color w:val="auto"/>
                <w:sz w:val="24"/>
                <w:highlight w:val="none"/>
              </w:rPr>
              <w:t>不可抗力致使合同有变更必要的，双方当事人应在</w:t>
            </w:r>
            <w:r>
              <w:rPr>
                <w:rFonts w:hint="eastAsia" w:ascii="宋体" w:hAnsi="宋体" w:eastAsia="宋体"/>
                <w:color w:val="auto"/>
                <w:sz w:val="24"/>
                <w:highlight w:val="none"/>
                <w:lang w:val="en-US" w:eastAsia="zh-CN"/>
              </w:rPr>
              <w:t>7日历天</w:t>
            </w:r>
            <w:r>
              <w:rPr>
                <w:rFonts w:ascii="宋体" w:hAnsi="宋体" w:eastAsia="宋体"/>
                <w:color w:val="auto"/>
                <w:sz w:val="24"/>
                <w:highlight w:val="none"/>
              </w:rPr>
              <w:t>内以书面形式变更合同</w:t>
            </w:r>
            <w:r>
              <w:rPr>
                <w:rFonts w:hint="eastAsia" w:ascii="宋体" w:hAnsi="宋体" w:eastAsia="宋体"/>
                <w:color w:val="auto"/>
                <w:sz w:val="24"/>
                <w:highlight w:val="none"/>
              </w:rPr>
              <w:t>；</w:t>
            </w:r>
          </w:p>
        </w:tc>
      </w:tr>
      <w:tr w14:paraId="51F61B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5" w:type="dxa"/>
            <w:tcBorders>
              <w:left w:val="single" w:color="auto" w:sz="4" w:space="0"/>
            </w:tcBorders>
            <w:vAlign w:val="center"/>
          </w:tcPr>
          <w:p w14:paraId="4F849A8C">
            <w:pPr>
              <w:pageBreakBefore w:val="0"/>
              <w:kinsoku/>
              <w:wordWrap/>
              <w:overflowPunct/>
              <w:topLinePunct w:val="0"/>
              <w:bidi w:val="0"/>
              <w:spacing w:line="560" w:lineRule="exact"/>
              <w:ind w:left="0" w:leftChars="0" w:right="0" w:rightChars="0"/>
              <w:textAlignment w:val="auto"/>
              <w:rPr>
                <w:rFonts w:hint="eastAsia" w:ascii="宋体" w:hAnsi="宋体"/>
                <w:color w:val="auto"/>
                <w:sz w:val="24"/>
                <w:highlight w:val="none"/>
              </w:rPr>
            </w:pPr>
            <w:r>
              <w:rPr>
                <w:rFonts w:hint="eastAsia" w:ascii="宋体" w:hAnsi="宋体" w:eastAsia="宋体"/>
                <w:color w:val="auto"/>
                <w:sz w:val="24"/>
                <w:highlight w:val="none"/>
              </w:rPr>
              <w:t>2.1</w:t>
            </w:r>
            <w:r>
              <w:rPr>
                <w:rFonts w:ascii="宋体" w:hAnsi="宋体" w:eastAsia="宋体"/>
                <w:color w:val="auto"/>
                <w:sz w:val="24"/>
                <w:highlight w:val="none"/>
              </w:rPr>
              <w:t>1</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4</w:t>
            </w:r>
          </w:p>
        </w:tc>
        <w:tc>
          <w:tcPr>
            <w:tcW w:w="7573" w:type="dxa"/>
            <w:vAlign w:val="center"/>
          </w:tcPr>
          <w:p w14:paraId="7FFBC708">
            <w:pPr>
              <w:pageBreakBefore w:val="0"/>
              <w:kinsoku/>
              <w:wordWrap/>
              <w:overflowPunct/>
              <w:topLinePunct w:val="0"/>
              <w:bidi w:val="0"/>
              <w:spacing w:line="560" w:lineRule="exact"/>
              <w:ind w:left="0" w:leftChars="0" w:right="0" w:rightChars="0"/>
              <w:textAlignment w:val="auto"/>
              <w:rPr>
                <w:rFonts w:hint="eastAsia" w:ascii="宋体" w:hAnsi="宋体"/>
                <w:color w:val="auto"/>
                <w:sz w:val="24"/>
                <w:highlight w:val="none"/>
              </w:rPr>
            </w:pPr>
            <w:r>
              <w:rPr>
                <w:rFonts w:hint="eastAsia" w:ascii="宋体" w:hAnsi="宋体" w:eastAsia="宋体"/>
                <w:color w:val="auto"/>
                <w:sz w:val="24"/>
                <w:highlight w:val="none"/>
                <w:lang w:val="en-US" w:eastAsia="zh-CN"/>
              </w:rPr>
              <w:t>受不可抗力影响的一方在不可抗力发生后，应在7日历天内以书面形式通知对方当事人，并在 7 日历天内，将有关部门出具的证明文件送达对方当事人。</w:t>
            </w:r>
          </w:p>
        </w:tc>
      </w:tr>
      <w:tr w14:paraId="67810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5" w:type="dxa"/>
            <w:tcBorders>
              <w:left w:val="single" w:color="auto" w:sz="4" w:space="0"/>
            </w:tcBorders>
            <w:vAlign w:val="center"/>
          </w:tcPr>
          <w:p w14:paraId="15B463DD">
            <w:pPr>
              <w:pageBreakBefore w:val="0"/>
              <w:kinsoku/>
              <w:wordWrap/>
              <w:overflowPunct/>
              <w:topLinePunct w:val="0"/>
              <w:bidi w:val="0"/>
              <w:spacing w:line="560" w:lineRule="exact"/>
              <w:ind w:left="0" w:leftChars="0" w:right="0" w:rightChars="0"/>
              <w:textAlignment w:val="auto"/>
              <w:rPr>
                <w:rFonts w:hint="eastAsia" w:ascii="宋体" w:hAnsi="宋体"/>
                <w:color w:val="auto"/>
                <w:sz w:val="24"/>
                <w:highlight w:val="none"/>
              </w:rPr>
            </w:pPr>
            <w:r>
              <w:rPr>
                <w:rFonts w:hint="eastAsia" w:ascii="宋体" w:hAnsi="宋体" w:eastAsia="宋体"/>
                <w:b w:val="0"/>
                <w:color w:val="auto"/>
                <w:sz w:val="24"/>
                <w:highlight w:val="none"/>
                <w:lang w:val="zh-CN" w:eastAsia="zh-CN"/>
              </w:rPr>
              <w:t>2.1</w:t>
            </w:r>
            <w:r>
              <w:rPr>
                <w:rFonts w:hint="eastAsia" w:ascii="宋体" w:hAnsi="宋体" w:eastAsia="宋体"/>
                <w:b w:val="0"/>
                <w:color w:val="auto"/>
                <w:sz w:val="24"/>
                <w:highlight w:val="none"/>
                <w:lang w:val="en-US" w:eastAsia="zh-CN"/>
              </w:rPr>
              <w:t>8</w:t>
            </w:r>
          </w:p>
        </w:tc>
        <w:tc>
          <w:tcPr>
            <w:tcW w:w="7573" w:type="dxa"/>
            <w:vAlign w:val="center"/>
          </w:tcPr>
          <w:p w14:paraId="60611A8F">
            <w:pPr>
              <w:keepNext w:val="0"/>
              <w:keepLines w:val="0"/>
              <w:pageBreakBefore w:val="0"/>
              <w:widowControl/>
              <w:suppressLineNumbers w:val="0"/>
              <w:kinsoku/>
              <w:wordWrap/>
              <w:overflowPunct/>
              <w:topLinePunct w:val="0"/>
              <w:bidi w:val="0"/>
              <w:ind w:left="0" w:leftChars="0" w:right="0" w:rightChars="0"/>
              <w:jc w:val="left"/>
              <w:textAlignment w:val="auto"/>
              <w:rPr>
                <w:rFonts w:hint="eastAsia" w:ascii="宋体" w:hAnsi="宋体"/>
                <w:color w:val="auto"/>
                <w:sz w:val="24"/>
                <w:highlight w:val="none"/>
                <w:u w:val="single"/>
              </w:rPr>
            </w:pPr>
            <w:r>
              <w:rPr>
                <w:rFonts w:hint="eastAsia" w:ascii="宋体" w:hAnsi="宋体" w:eastAsia="宋体" w:cs="宋体"/>
                <w:color w:val="auto"/>
                <w:kern w:val="0"/>
                <w:sz w:val="24"/>
                <w:szCs w:val="24"/>
                <w:highlight w:val="none"/>
                <w:lang w:val="en-US" w:eastAsia="zh-CN" w:bidi="ar"/>
              </w:rPr>
              <w:t>合同份数本合同一式陆份，双方各执叁份，每份均具有同等法律效力。自双方当事人盖章后生效。</w:t>
            </w:r>
          </w:p>
        </w:tc>
      </w:tr>
    </w:tbl>
    <w:p w14:paraId="451805B7">
      <w:pPr>
        <w:spacing w:line="360" w:lineRule="auto"/>
        <w:rPr>
          <w:rFonts w:hint="eastAsia" w:ascii="仿宋" w:hAnsi="仿宋" w:eastAsia="仿宋"/>
          <w:color w:val="auto"/>
          <w:sz w:val="28"/>
          <w:szCs w:val="28"/>
          <w:highlight w:val="none"/>
        </w:rPr>
      </w:pPr>
    </w:p>
    <w:p w14:paraId="6D1ECA28">
      <w:pPr>
        <w:pStyle w:val="209"/>
        <w:spacing w:before="240"/>
        <w:jc w:val="center"/>
        <w:outlineLvl w:val="1"/>
        <w:rPr>
          <w:color w:val="auto"/>
          <w:highlight w:val="none"/>
        </w:rPr>
      </w:pPr>
      <w:bookmarkStart w:id="183" w:name="_Toc15954"/>
      <w:r>
        <w:rPr>
          <w:color w:val="auto"/>
          <w:highlight w:val="none"/>
        </w:rPr>
        <w:br w:type="page"/>
      </w:r>
      <w:r>
        <w:rPr>
          <w:color w:val="auto"/>
          <w:highlight w:val="none"/>
        </w:rPr>
        <w:t>第</w:t>
      </w:r>
      <w:r>
        <w:rPr>
          <w:rFonts w:hint="eastAsia"/>
          <w:color w:val="auto"/>
          <w:highlight w:val="none"/>
        </w:rPr>
        <w:t>六</w:t>
      </w:r>
      <w:r>
        <w:rPr>
          <w:color w:val="auto"/>
          <w:highlight w:val="none"/>
        </w:rPr>
        <w:t xml:space="preserve">章 </w:t>
      </w:r>
      <w:bookmarkEnd w:id="38"/>
      <w:bookmarkEnd w:id="39"/>
      <w:bookmarkEnd w:id="40"/>
      <w:bookmarkEnd w:id="41"/>
      <w:bookmarkEnd w:id="42"/>
      <w:bookmarkEnd w:id="43"/>
      <w:bookmarkEnd w:id="44"/>
      <w:bookmarkEnd w:id="183"/>
      <w:bookmarkStart w:id="184" w:name="_Toc368471394"/>
      <w:bookmarkStart w:id="185" w:name="_Toc21023"/>
      <w:r>
        <w:rPr>
          <w:rFonts w:hint="eastAsia"/>
          <w:color w:val="auto"/>
          <w:highlight w:val="none"/>
        </w:rPr>
        <w:t>响应文件格式</w:t>
      </w:r>
    </w:p>
    <w:p w14:paraId="3B44DC88">
      <w:pPr>
        <w:pStyle w:val="209"/>
        <w:spacing w:before="240"/>
        <w:outlineLvl w:val="9"/>
        <w:rPr>
          <w:rFonts w:hint="eastAsia" w:ascii="宋体" w:hAnsi="宋体"/>
          <w:color w:val="auto"/>
          <w:sz w:val="52"/>
          <w:szCs w:val="52"/>
          <w:highlight w:val="none"/>
        </w:rPr>
      </w:pPr>
      <w:r>
        <w:rPr>
          <w:rFonts w:hint="eastAsia"/>
          <w:color w:val="auto"/>
          <w:highlight w:val="none"/>
        </w:rPr>
        <w:t>一、封面</w:t>
      </w:r>
      <w:bookmarkEnd w:id="184"/>
      <w:r>
        <w:rPr>
          <w:rFonts w:hint="eastAsia"/>
          <w:color w:val="auto"/>
          <w:highlight w:val="none"/>
        </w:rPr>
        <w:t>格式</w:t>
      </w:r>
      <w:bookmarkEnd w:id="185"/>
      <w:r>
        <w:rPr>
          <w:rFonts w:hint="eastAsia" w:ascii="宋体" w:hAnsi="宋体"/>
          <w:color w:val="auto"/>
          <w:sz w:val="52"/>
          <w:szCs w:val="52"/>
          <w:highlight w:val="none"/>
        </w:rPr>
        <w:t xml:space="preserve">                  </w:t>
      </w:r>
    </w:p>
    <w:p w14:paraId="103F01C4">
      <w:pPr>
        <w:jc w:val="center"/>
        <w:rPr>
          <w:rFonts w:hint="eastAsia" w:ascii="宋体" w:hAnsi="宋体"/>
          <w:b/>
          <w:bCs/>
          <w:color w:val="auto"/>
          <w:sz w:val="32"/>
          <w:szCs w:val="32"/>
          <w:highlight w:val="none"/>
        </w:rPr>
      </w:pPr>
      <w:r>
        <w:rPr>
          <w:rFonts w:hint="eastAsia" w:ascii="宋体" w:hAnsi="宋体"/>
          <w:color w:val="auto"/>
          <w:sz w:val="52"/>
          <w:szCs w:val="52"/>
          <w:highlight w:val="none"/>
        </w:rPr>
        <w:t xml:space="preserve">                          </w:t>
      </w:r>
      <w:r>
        <w:rPr>
          <w:rFonts w:hint="eastAsia" w:ascii="宋体" w:hAnsi="宋体"/>
          <w:b/>
          <w:bCs/>
          <w:color w:val="auto"/>
          <w:sz w:val="32"/>
          <w:szCs w:val="32"/>
          <w:highlight w:val="none"/>
        </w:rPr>
        <w:t xml:space="preserve">正/副本                                         </w:t>
      </w:r>
    </w:p>
    <w:p w14:paraId="2F8AAEF8">
      <w:pPr>
        <w:jc w:val="center"/>
        <w:rPr>
          <w:rFonts w:hint="eastAsia" w:ascii="宋体" w:hAnsi="宋体"/>
          <w:color w:val="auto"/>
          <w:sz w:val="24"/>
          <w:highlight w:val="none"/>
        </w:rPr>
      </w:pPr>
      <w:r>
        <w:rPr>
          <w:rFonts w:hint="eastAsia" w:ascii="宋体" w:hAnsi="宋体"/>
          <w:b/>
          <w:bCs/>
          <w:color w:val="auto"/>
          <w:sz w:val="32"/>
          <w:szCs w:val="32"/>
          <w:highlight w:val="none"/>
        </w:rPr>
        <w:t xml:space="preserve">                                          </w:t>
      </w:r>
      <w:r>
        <w:rPr>
          <w:rFonts w:hint="eastAsia" w:ascii="宋体" w:hAnsi="宋体"/>
          <w:color w:val="auto"/>
          <w:sz w:val="24"/>
          <w:highlight w:val="none"/>
        </w:rPr>
        <w:t>（注意二选一）</w:t>
      </w:r>
    </w:p>
    <w:p w14:paraId="52B16C9B">
      <w:pPr>
        <w:rPr>
          <w:rFonts w:hint="eastAsia" w:ascii="宋体" w:hAnsi="宋体"/>
          <w:color w:val="auto"/>
          <w:sz w:val="52"/>
          <w:szCs w:val="52"/>
          <w:highlight w:val="none"/>
        </w:rPr>
      </w:pPr>
    </w:p>
    <w:p w14:paraId="3B6FA170">
      <w:pPr>
        <w:rPr>
          <w:rFonts w:hint="eastAsia" w:ascii="宋体" w:hAnsi="宋体"/>
          <w:color w:val="auto"/>
          <w:sz w:val="52"/>
          <w:szCs w:val="52"/>
          <w:highlight w:val="none"/>
        </w:rPr>
      </w:pPr>
    </w:p>
    <w:p w14:paraId="0B3388E2">
      <w:pPr>
        <w:tabs>
          <w:tab w:val="left" w:pos="7740"/>
        </w:tabs>
        <w:jc w:val="center"/>
        <w:rPr>
          <w:rFonts w:hint="eastAsia" w:ascii="黑体" w:hAnsi="黑体" w:eastAsia="黑体" w:cs="Arial"/>
          <w:bCs/>
          <w:color w:val="auto"/>
          <w:sz w:val="84"/>
          <w:szCs w:val="84"/>
          <w:highlight w:val="none"/>
        </w:rPr>
      </w:pPr>
      <w:r>
        <w:rPr>
          <w:rFonts w:hint="eastAsia" w:ascii="黑体" w:hAnsi="黑体" w:eastAsia="黑体" w:cs="Arial"/>
          <w:bCs/>
          <w:color w:val="auto"/>
          <w:sz w:val="72"/>
          <w:szCs w:val="72"/>
          <w:highlight w:val="none"/>
        </w:rPr>
        <w:t xml:space="preserve"> </w:t>
      </w:r>
      <w:r>
        <w:rPr>
          <w:rFonts w:hint="eastAsia" w:ascii="黑体" w:hAnsi="黑体" w:eastAsia="黑体" w:cs="Arial"/>
          <w:bCs/>
          <w:color w:val="auto"/>
          <w:sz w:val="84"/>
          <w:szCs w:val="84"/>
          <w:highlight w:val="none"/>
        </w:rPr>
        <w:t>竞争性磋商响应文件</w:t>
      </w:r>
    </w:p>
    <w:p w14:paraId="0F3A7955">
      <w:pPr>
        <w:jc w:val="center"/>
        <w:rPr>
          <w:rFonts w:hint="eastAsia" w:ascii="宋体" w:hAnsi="宋体"/>
          <w:color w:val="auto"/>
          <w:sz w:val="72"/>
          <w:szCs w:val="72"/>
          <w:highlight w:val="none"/>
        </w:rPr>
      </w:pPr>
    </w:p>
    <w:p w14:paraId="3BD8F388">
      <w:pPr>
        <w:spacing w:line="600" w:lineRule="exact"/>
        <w:rPr>
          <w:rFonts w:ascii="Arial" w:hAnsi="Arial" w:cs="Arial"/>
          <w:color w:val="auto"/>
          <w:sz w:val="24"/>
          <w:highlight w:val="none"/>
          <w:u w:val="single"/>
        </w:rPr>
      </w:pPr>
      <w:r>
        <w:rPr>
          <w:rFonts w:hint="eastAsia" w:ascii="Arial" w:hAnsi="Arial" w:cs="Arial"/>
          <w:color w:val="auto"/>
          <w:sz w:val="24"/>
          <w:highlight w:val="none"/>
        </w:rPr>
        <w:t xml:space="preserve">                  项目名称：</w:t>
      </w:r>
      <w:r>
        <w:rPr>
          <w:rFonts w:hint="eastAsia" w:ascii="Arial" w:hAnsi="Arial" w:cs="Arial"/>
          <w:color w:val="auto"/>
          <w:sz w:val="24"/>
          <w:highlight w:val="none"/>
          <w:u w:val="single"/>
        </w:rPr>
        <w:t xml:space="preserve">          </w:t>
      </w:r>
    </w:p>
    <w:p w14:paraId="5D960844">
      <w:pPr>
        <w:spacing w:line="600" w:lineRule="exact"/>
        <w:rPr>
          <w:rFonts w:ascii="Arial" w:hAnsi="Arial" w:cs="Arial"/>
          <w:color w:val="auto"/>
          <w:sz w:val="24"/>
          <w:highlight w:val="none"/>
          <w:u w:val="single"/>
        </w:rPr>
      </w:pPr>
      <w:r>
        <w:rPr>
          <w:rFonts w:hint="eastAsia" w:ascii="Arial" w:hAnsi="Arial" w:cs="Arial"/>
          <w:color w:val="auto"/>
          <w:sz w:val="24"/>
          <w:highlight w:val="none"/>
        </w:rPr>
        <w:t xml:space="preserve">                  项目</w:t>
      </w:r>
      <w:r>
        <w:rPr>
          <w:rFonts w:ascii="Arial" w:hAnsi="Arial" w:cs="Arial"/>
          <w:color w:val="auto"/>
          <w:sz w:val="24"/>
          <w:highlight w:val="none"/>
        </w:rPr>
        <w:t>编号：</w:t>
      </w:r>
      <w:r>
        <w:rPr>
          <w:rFonts w:hint="eastAsia" w:ascii="Arial" w:hAnsi="Arial" w:cs="Arial"/>
          <w:bCs/>
          <w:color w:val="auto"/>
          <w:sz w:val="24"/>
          <w:highlight w:val="none"/>
          <w:u w:val="single"/>
        </w:rPr>
        <w:t xml:space="preserve">        </w:t>
      </w:r>
    </w:p>
    <w:p w14:paraId="3FDE770F">
      <w:pPr>
        <w:spacing w:line="600" w:lineRule="exact"/>
        <w:rPr>
          <w:rFonts w:hint="eastAsia" w:ascii="Arial" w:hAnsi="Arial" w:eastAsia="宋体" w:cs="Arial"/>
          <w:color w:val="auto"/>
          <w:sz w:val="24"/>
          <w:highlight w:val="none"/>
          <w:lang w:val="en-US" w:eastAsia="zh-CN"/>
        </w:rPr>
      </w:pPr>
      <w:r>
        <w:rPr>
          <w:rFonts w:hint="eastAsia" w:ascii="Arial" w:hAnsi="Arial" w:cs="Arial"/>
          <w:color w:val="auto"/>
          <w:sz w:val="24"/>
          <w:highlight w:val="none"/>
        </w:rPr>
        <w:t xml:space="preserve">                 </w:t>
      </w:r>
      <w:r>
        <w:rPr>
          <w:rFonts w:hint="eastAsia" w:ascii="Arial" w:hAnsi="Arial" w:cs="Arial"/>
          <w:color w:val="auto"/>
          <w:sz w:val="24"/>
          <w:highlight w:val="none"/>
          <w:lang w:val="en-US" w:eastAsia="zh-CN"/>
        </w:rPr>
        <w:t xml:space="preserve"> </w:t>
      </w:r>
    </w:p>
    <w:p w14:paraId="1B1C2ACF">
      <w:pPr>
        <w:spacing w:line="600" w:lineRule="exact"/>
        <w:ind w:firstLine="540" w:firstLineChars="225"/>
        <w:jc w:val="center"/>
        <w:rPr>
          <w:rFonts w:ascii="Arial" w:hAnsi="Arial" w:cs="Arial"/>
          <w:color w:val="auto"/>
          <w:sz w:val="24"/>
          <w:highlight w:val="none"/>
        </w:rPr>
      </w:pPr>
    </w:p>
    <w:p w14:paraId="47453BE0">
      <w:pPr>
        <w:pStyle w:val="2"/>
        <w:rPr>
          <w:rFonts w:cs="Arial"/>
          <w:color w:val="auto"/>
          <w:sz w:val="24"/>
          <w:highlight w:val="none"/>
        </w:rPr>
      </w:pPr>
    </w:p>
    <w:p w14:paraId="5AFFE35F">
      <w:pPr>
        <w:rPr>
          <w:rFonts w:ascii="Arial" w:hAnsi="Arial" w:cs="Arial"/>
          <w:color w:val="auto"/>
          <w:sz w:val="24"/>
          <w:highlight w:val="none"/>
        </w:rPr>
      </w:pPr>
    </w:p>
    <w:p w14:paraId="0D949AB3">
      <w:pPr>
        <w:pStyle w:val="2"/>
        <w:rPr>
          <w:rFonts w:cs="Arial"/>
          <w:color w:val="auto"/>
          <w:sz w:val="24"/>
          <w:highlight w:val="none"/>
        </w:rPr>
      </w:pPr>
    </w:p>
    <w:p w14:paraId="73214480">
      <w:pPr>
        <w:rPr>
          <w:rFonts w:ascii="Arial" w:hAnsi="Arial" w:cs="Arial"/>
          <w:color w:val="auto"/>
          <w:sz w:val="24"/>
          <w:highlight w:val="none"/>
        </w:rPr>
      </w:pPr>
    </w:p>
    <w:p w14:paraId="4A5DED3D">
      <w:pPr>
        <w:pStyle w:val="2"/>
        <w:rPr>
          <w:rFonts w:cs="Arial"/>
          <w:color w:val="auto"/>
          <w:sz w:val="24"/>
          <w:highlight w:val="none"/>
        </w:rPr>
      </w:pPr>
    </w:p>
    <w:p w14:paraId="4CC82D84">
      <w:pPr>
        <w:rPr>
          <w:color w:val="auto"/>
          <w:highlight w:val="none"/>
        </w:rPr>
      </w:pPr>
    </w:p>
    <w:p w14:paraId="580A802C">
      <w:pPr>
        <w:spacing w:line="600" w:lineRule="exact"/>
        <w:rPr>
          <w:rFonts w:hint="eastAsia" w:ascii="宋体" w:hAnsi="宋体" w:cs="Arial"/>
          <w:color w:val="auto"/>
          <w:sz w:val="28"/>
          <w:szCs w:val="28"/>
          <w:highlight w:val="none"/>
        </w:rPr>
      </w:pPr>
      <w:r>
        <w:rPr>
          <w:rFonts w:hint="eastAsia" w:ascii="宋体" w:hAnsi="宋体" w:cs="Arial"/>
          <w:color w:val="auto"/>
          <w:sz w:val="28"/>
          <w:szCs w:val="28"/>
          <w:highlight w:val="none"/>
        </w:rPr>
        <w:t>供应商名称：</w:t>
      </w:r>
      <w:r>
        <w:rPr>
          <w:rFonts w:hint="eastAsia" w:ascii="宋体" w:hAnsi="宋体" w:cs="Arial"/>
          <w:color w:val="auto"/>
          <w:sz w:val="28"/>
          <w:szCs w:val="28"/>
          <w:highlight w:val="none"/>
          <w:u w:val="single"/>
        </w:rPr>
        <w:t xml:space="preserve">                          </w:t>
      </w:r>
      <w:r>
        <w:rPr>
          <w:rFonts w:hint="eastAsia" w:ascii="宋体" w:hAnsi="宋体" w:cs="Arial"/>
          <w:color w:val="auto"/>
          <w:sz w:val="28"/>
          <w:szCs w:val="28"/>
          <w:highlight w:val="none"/>
        </w:rPr>
        <w:t>（加盖公章）</w:t>
      </w:r>
    </w:p>
    <w:p w14:paraId="30AE9222">
      <w:pPr>
        <w:spacing w:line="600" w:lineRule="exact"/>
        <w:rPr>
          <w:rFonts w:hint="eastAsia" w:ascii="宋体" w:hAnsi="宋体" w:cs="Arial"/>
          <w:color w:val="auto"/>
          <w:sz w:val="28"/>
          <w:szCs w:val="28"/>
          <w:highlight w:val="none"/>
        </w:rPr>
      </w:pPr>
    </w:p>
    <w:p w14:paraId="6C20F2A7">
      <w:pPr>
        <w:spacing w:line="600" w:lineRule="exact"/>
        <w:rPr>
          <w:rFonts w:hint="eastAsia" w:ascii="宋体" w:hAnsi="宋体" w:cs="Arial"/>
          <w:color w:val="auto"/>
          <w:sz w:val="28"/>
          <w:szCs w:val="28"/>
          <w:highlight w:val="none"/>
        </w:rPr>
      </w:pPr>
      <w:r>
        <w:rPr>
          <w:rFonts w:hint="eastAsia" w:ascii="宋体" w:hAnsi="宋体" w:cs="Arial"/>
          <w:color w:val="auto"/>
          <w:sz w:val="28"/>
          <w:szCs w:val="28"/>
          <w:highlight w:val="none"/>
        </w:rPr>
        <w:t>法定代表人或其授权代表：</w:t>
      </w:r>
      <w:r>
        <w:rPr>
          <w:rFonts w:hint="eastAsia" w:ascii="宋体" w:hAnsi="宋体" w:cs="Arial"/>
          <w:color w:val="auto"/>
          <w:sz w:val="28"/>
          <w:szCs w:val="28"/>
          <w:highlight w:val="none"/>
          <w:u w:val="single"/>
        </w:rPr>
        <w:t xml:space="preserve">              </w:t>
      </w:r>
      <w:r>
        <w:rPr>
          <w:rFonts w:hint="eastAsia" w:ascii="宋体" w:hAnsi="宋体" w:cs="Arial"/>
          <w:color w:val="auto"/>
          <w:sz w:val="28"/>
          <w:szCs w:val="28"/>
          <w:highlight w:val="none"/>
        </w:rPr>
        <w:t>（签字或盖章）</w:t>
      </w:r>
    </w:p>
    <w:p w14:paraId="74005851">
      <w:pPr>
        <w:spacing w:line="600" w:lineRule="exact"/>
        <w:jc w:val="center"/>
        <w:rPr>
          <w:rFonts w:hint="eastAsia" w:ascii="宋体" w:hAnsi="宋体" w:cs="Arial"/>
          <w:color w:val="auto"/>
          <w:sz w:val="28"/>
          <w:szCs w:val="28"/>
          <w:highlight w:val="none"/>
        </w:rPr>
      </w:pPr>
    </w:p>
    <w:p w14:paraId="4DD7AAB7">
      <w:pPr>
        <w:spacing w:line="600" w:lineRule="exact"/>
        <w:jc w:val="center"/>
        <w:rPr>
          <w:rFonts w:hint="eastAsia" w:ascii="宋体" w:hAnsi="宋体" w:cs="Arial"/>
          <w:color w:val="auto"/>
          <w:sz w:val="28"/>
          <w:szCs w:val="28"/>
          <w:highlight w:val="none"/>
        </w:rPr>
      </w:pPr>
      <w:r>
        <w:rPr>
          <w:rFonts w:ascii="Arial" w:hAnsi="Arial" w:cs="Arial"/>
          <w:color w:val="auto"/>
          <w:sz w:val="28"/>
          <w:szCs w:val="28"/>
          <w:highlight w:val="none"/>
        </w:rPr>
        <w:t>年   月   日</w:t>
      </w:r>
    </w:p>
    <w:p w14:paraId="746F2AE1">
      <w:pPr>
        <w:jc w:val="center"/>
        <w:rPr>
          <w:b/>
          <w:color w:val="auto"/>
          <w:sz w:val="36"/>
          <w:szCs w:val="36"/>
          <w:highlight w:val="none"/>
        </w:rPr>
      </w:pPr>
      <w:r>
        <w:rPr>
          <w:color w:val="auto"/>
          <w:highlight w:val="none"/>
        </w:rPr>
        <w:br w:type="page"/>
      </w:r>
      <w:r>
        <w:rPr>
          <w:rFonts w:hint="eastAsia"/>
          <w:b/>
          <w:color w:val="auto"/>
          <w:sz w:val="36"/>
          <w:szCs w:val="36"/>
          <w:highlight w:val="none"/>
        </w:rPr>
        <w:t>目　录</w:t>
      </w:r>
    </w:p>
    <w:p w14:paraId="40DFBA95">
      <w:pPr>
        <w:spacing w:line="500" w:lineRule="exact"/>
        <w:jc w:val="center"/>
        <w:rPr>
          <w:rFonts w:hint="eastAsia" w:ascii="宋体" w:hAnsi="宋体"/>
          <w:color w:val="auto"/>
          <w:sz w:val="24"/>
          <w:highlight w:val="none"/>
        </w:rPr>
      </w:pPr>
    </w:p>
    <w:p w14:paraId="75FF822B">
      <w:pPr>
        <w:spacing w:line="500" w:lineRule="exact"/>
        <w:jc w:val="center"/>
        <w:rPr>
          <w:rFonts w:hint="eastAsia" w:ascii="宋体" w:hAnsi="宋体"/>
          <w:color w:val="auto"/>
          <w:sz w:val="24"/>
          <w:highlight w:val="none"/>
        </w:rPr>
      </w:pPr>
      <w:r>
        <w:rPr>
          <w:rFonts w:hint="eastAsia" w:ascii="宋体" w:hAnsi="宋体"/>
          <w:color w:val="auto"/>
          <w:sz w:val="24"/>
          <w:highlight w:val="none"/>
        </w:rPr>
        <w:t>请编制详细的目录和页码(供应商可自行制作格式)</w:t>
      </w:r>
    </w:p>
    <w:p w14:paraId="6F3C647E">
      <w:pPr>
        <w:spacing w:line="360" w:lineRule="auto"/>
        <w:jc w:val="center"/>
        <w:outlineLvl w:val="1"/>
        <w:rPr>
          <w:rFonts w:hint="eastAsia" w:ascii="宋体" w:hAnsi="宋体"/>
          <w:b/>
          <w:color w:val="auto"/>
          <w:sz w:val="24"/>
          <w:highlight w:val="none"/>
        </w:rPr>
      </w:pPr>
      <w:bookmarkStart w:id="186" w:name="_Toc461053086"/>
      <w:bookmarkStart w:id="187" w:name="_Toc461056631"/>
      <w:bookmarkStart w:id="188" w:name="_Toc5881"/>
      <w:bookmarkStart w:id="189" w:name="_Toc26791"/>
      <w:bookmarkStart w:id="190" w:name="_Toc520983587"/>
      <w:bookmarkStart w:id="191" w:name="_Toc1066"/>
      <w:r>
        <w:rPr>
          <w:rFonts w:hint="eastAsia" w:ascii="宋体" w:hAnsi="宋体"/>
          <w:b/>
          <w:color w:val="auto"/>
          <w:sz w:val="24"/>
          <w:highlight w:val="none"/>
        </w:rPr>
        <w:br w:type="page"/>
      </w:r>
      <w:r>
        <w:rPr>
          <w:rFonts w:hint="eastAsia" w:ascii="宋体" w:hAnsi="宋体"/>
          <w:b/>
          <w:color w:val="auto"/>
          <w:sz w:val="24"/>
          <w:highlight w:val="none"/>
        </w:rPr>
        <w:t>一</w:t>
      </w:r>
      <w:bookmarkEnd w:id="186"/>
      <w:bookmarkEnd w:id="187"/>
      <w:r>
        <w:rPr>
          <w:rFonts w:hint="eastAsia" w:ascii="宋体" w:hAnsi="宋体"/>
          <w:b/>
          <w:color w:val="auto"/>
          <w:sz w:val="24"/>
          <w:highlight w:val="none"/>
        </w:rPr>
        <w:t>、报价表格式</w:t>
      </w:r>
      <w:bookmarkEnd w:id="188"/>
      <w:bookmarkEnd w:id="189"/>
      <w:bookmarkEnd w:id="190"/>
    </w:p>
    <w:p w14:paraId="59BD9828">
      <w:pPr>
        <w:spacing w:before="120" w:beforeLines="50" w:after="120" w:afterLines="50" w:line="360" w:lineRule="auto"/>
        <w:jc w:val="left"/>
        <w:outlineLvl w:val="2"/>
        <w:rPr>
          <w:rFonts w:hint="eastAsia" w:ascii="宋体" w:hAnsi="宋体"/>
          <w:b/>
          <w:color w:val="auto"/>
          <w:sz w:val="24"/>
          <w:szCs w:val="28"/>
          <w:highlight w:val="none"/>
        </w:rPr>
      </w:pPr>
      <w:r>
        <w:rPr>
          <w:rFonts w:hint="eastAsia" w:ascii="宋体" w:hAnsi="宋体"/>
          <w:b/>
          <w:color w:val="auto"/>
          <w:sz w:val="24"/>
          <w:szCs w:val="28"/>
          <w:highlight w:val="none"/>
        </w:rPr>
        <w:t>1-1 报价表</w:t>
      </w:r>
    </w:p>
    <w:p w14:paraId="088AFD57">
      <w:pPr>
        <w:snapToGrid w:val="0"/>
        <w:spacing w:line="360" w:lineRule="auto"/>
        <w:jc w:val="left"/>
        <w:rPr>
          <w:rFonts w:hint="eastAsia" w:ascii="宋体" w:hAnsi="宋体"/>
          <w:b/>
          <w:color w:val="auto"/>
          <w:sz w:val="24"/>
          <w:szCs w:val="28"/>
          <w:highlight w:val="none"/>
        </w:rPr>
      </w:pPr>
      <w:r>
        <w:rPr>
          <w:rFonts w:hint="eastAsia" w:ascii="宋体" w:hAnsi="宋体"/>
          <w:b/>
          <w:color w:val="auto"/>
          <w:sz w:val="24"/>
          <w:szCs w:val="28"/>
          <w:highlight w:val="none"/>
        </w:rPr>
        <w:t>项目名称：</w:t>
      </w:r>
      <w:r>
        <w:rPr>
          <w:rFonts w:hint="eastAsia" w:ascii="宋体" w:hAnsi="宋体"/>
          <w:b/>
          <w:color w:val="auto"/>
          <w:sz w:val="24"/>
          <w:szCs w:val="28"/>
          <w:highlight w:val="none"/>
          <w:u w:val="single"/>
        </w:rPr>
        <w:t xml:space="preserve">          </w:t>
      </w:r>
    </w:p>
    <w:p w14:paraId="5B6B2DB8">
      <w:pPr>
        <w:snapToGrid w:val="0"/>
        <w:spacing w:after="120" w:afterLines="50" w:line="360" w:lineRule="auto"/>
        <w:jc w:val="left"/>
        <w:rPr>
          <w:rFonts w:hint="eastAsia" w:ascii="宋体" w:hAnsi="宋体"/>
          <w:b/>
          <w:bCs/>
          <w:color w:val="auto"/>
          <w:sz w:val="24"/>
          <w:szCs w:val="28"/>
          <w:highlight w:val="none"/>
          <w:u w:val="single"/>
        </w:rPr>
      </w:pPr>
      <w:r>
        <w:rPr>
          <w:rFonts w:hint="eastAsia" w:ascii="宋体" w:hAnsi="宋体"/>
          <w:b/>
          <w:color w:val="auto"/>
          <w:sz w:val="24"/>
          <w:szCs w:val="28"/>
          <w:highlight w:val="none"/>
        </w:rPr>
        <w:t>项目编号：</w:t>
      </w:r>
      <w:r>
        <w:rPr>
          <w:rFonts w:hint="eastAsia" w:ascii="宋体" w:hAnsi="宋体"/>
          <w:b/>
          <w:color w:val="auto"/>
          <w:sz w:val="24"/>
          <w:szCs w:val="28"/>
          <w:highlight w:val="none"/>
          <w:u w:val="single"/>
        </w:rPr>
        <w:t xml:space="preserve">          </w:t>
      </w:r>
    </w:p>
    <w:tbl>
      <w:tblPr>
        <w:tblStyle w:val="77"/>
        <w:tblpPr w:leftFromText="180" w:rightFromText="180" w:vertAnchor="text" w:horzAnchor="page" w:tblpX="1117" w:tblpY="586"/>
        <w:tblOverlap w:val="never"/>
        <w:tblW w:w="98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7009"/>
      </w:tblGrid>
      <w:tr w14:paraId="23FB6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2844" w:type="dxa"/>
            <w:tcBorders>
              <w:top w:val="single" w:color="auto" w:sz="4" w:space="0"/>
              <w:left w:val="single" w:color="auto" w:sz="4" w:space="0"/>
              <w:bottom w:val="single" w:color="auto" w:sz="4" w:space="0"/>
              <w:right w:val="single" w:color="auto" w:sz="4" w:space="0"/>
            </w:tcBorders>
            <w:vAlign w:val="center"/>
          </w:tcPr>
          <w:p w14:paraId="506C9248">
            <w:pPr>
              <w:spacing w:line="360" w:lineRule="auto"/>
              <w:jc w:val="center"/>
              <w:rPr>
                <w:rFonts w:hint="eastAsia" w:ascii="宋体" w:hAnsi="宋体"/>
                <w:b/>
                <w:color w:val="auto"/>
                <w:sz w:val="24"/>
                <w:highlight w:val="none"/>
              </w:rPr>
            </w:pPr>
            <w:r>
              <w:rPr>
                <w:rFonts w:hint="eastAsia" w:ascii="宋体" w:hAnsi="宋体"/>
                <w:b/>
                <w:color w:val="auto"/>
                <w:sz w:val="24"/>
                <w:highlight w:val="none"/>
              </w:rPr>
              <w:t>供应商名称</w:t>
            </w:r>
          </w:p>
        </w:tc>
        <w:tc>
          <w:tcPr>
            <w:tcW w:w="7009" w:type="dxa"/>
            <w:tcBorders>
              <w:left w:val="single" w:color="auto" w:sz="4" w:space="0"/>
            </w:tcBorders>
          </w:tcPr>
          <w:p w14:paraId="6CE9BCD5">
            <w:pPr>
              <w:spacing w:line="360" w:lineRule="auto"/>
              <w:rPr>
                <w:rFonts w:hint="eastAsia" w:ascii="宋体" w:hAnsi="宋体"/>
                <w:b/>
                <w:color w:val="auto"/>
                <w:sz w:val="24"/>
                <w:highlight w:val="none"/>
              </w:rPr>
            </w:pPr>
          </w:p>
        </w:tc>
      </w:tr>
      <w:tr w14:paraId="5E9B0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2844" w:type="dxa"/>
            <w:tcBorders>
              <w:top w:val="single" w:color="auto" w:sz="4" w:space="0"/>
              <w:left w:val="single" w:color="auto" w:sz="4" w:space="0"/>
              <w:bottom w:val="single" w:color="auto" w:sz="4" w:space="0"/>
              <w:right w:val="single" w:color="auto" w:sz="4" w:space="0"/>
            </w:tcBorders>
            <w:vAlign w:val="center"/>
          </w:tcPr>
          <w:p w14:paraId="50EC306C">
            <w:pPr>
              <w:spacing w:line="360" w:lineRule="exact"/>
              <w:jc w:val="center"/>
              <w:rPr>
                <w:rFonts w:hint="eastAsia" w:ascii="宋体" w:hAnsi="宋体"/>
                <w:b/>
                <w:color w:val="auto"/>
                <w:sz w:val="24"/>
                <w:highlight w:val="none"/>
              </w:rPr>
            </w:pPr>
            <w:r>
              <w:rPr>
                <w:rFonts w:hint="eastAsia" w:ascii="宋体" w:hAnsi="宋体"/>
                <w:b/>
                <w:color w:val="auto"/>
                <w:sz w:val="24"/>
                <w:highlight w:val="none"/>
              </w:rPr>
              <w:t>磋商范围</w:t>
            </w:r>
          </w:p>
        </w:tc>
        <w:tc>
          <w:tcPr>
            <w:tcW w:w="7009" w:type="dxa"/>
            <w:tcBorders>
              <w:left w:val="single" w:color="auto" w:sz="4" w:space="0"/>
            </w:tcBorders>
            <w:vAlign w:val="center"/>
          </w:tcPr>
          <w:p w14:paraId="649ECF11">
            <w:pPr>
              <w:widowControl/>
              <w:spacing w:line="360" w:lineRule="exact"/>
              <w:rPr>
                <w:rFonts w:hint="eastAsia" w:ascii="宋体" w:hAnsi="宋体"/>
                <w:b/>
                <w:color w:val="auto"/>
                <w:sz w:val="24"/>
                <w:highlight w:val="none"/>
              </w:rPr>
            </w:pPr>
            <w:r>
              <w:rPr>
                <w:rFonts w:hint="eastAsia" w:ascii="宋体" w:hAnsi="宋体"/>
                <w:color w:val="auto"/>
                <w:sz w:val="24"/>
                <w:szCs w:val="28"/>
                <w:highlight w:val="none"/>
              </w:rPr>
              <w:t xml:space="preserve">全部 </w:t>
            </w:r>
          </w:p>
        </w:tc>
      </w:tr>
      <w:tr w14:paraId="0BBC3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2844" w:type="dxa"/>
            <w:tcBorders>
              <w:top w:val="single" w:color="auto" w:sz="4" w:space="0"/>
            </w:tcBorders>
            <w:vAlign w:val="center"/>
          </w:tcPr>
          <w:p w14:paraId="580A2E4A">
            <w:pPr>
              <w:spacing w:line="360" w:lineRule="auto"/>
              <w:jc w:val="center"/>
              <w:rPr>
                <w:rFonts w:hint="eastAsia" w:ascii="宋体" w:hAnsi="宋体"/>
                <w:b/>
                <w:color w:val="auto"/>
                <w:sz w:val="24"/>
                <w:highlight w:val="none"/>
              </w:rPr>
            </w:pPr>
            <w:r>
              <w:rPr>
                <w:rFonts w:hint="eastAsia" w:ascii="宋体" w:hAnsi="宋体"/>
                <w:b/>
                <w:color w:val="auto"/>
                <w:sz w:val="24"/>
                <w:highlight w:val="none"/>
              </w:rPr>
              <w:t>报价</w:t>
            </w:r>
          </w:p>
          <w:p w14:paraId="5359E5FE">
            <w:pPr>
              <w:spacing w:line="360" w:lineRule="auto"/>
              <w:jc w:val="center"/>
              <w:rPr>
                <w:rFonts w:hint="eastAsia" w:ascii="宋体" w:hAnsi="宋体"/>
                <w:b/>
                <w:color w:val="auto"/>
                <w:sz w:val="24"/>
                <w:highlight w:val="none"/>
              </w:rPr>
            </w:pPr>
            <w:r>
              <w:rPr>
                <w:rFonts w:hint="eastAsia" w:ascii="宋体" w:hAnsi="宋体"/>
                <w:b/>
                <w:color w:val="auto"/>
                <w:sz w:val="24"/>
                <w:highlight w:val="none"/>
              </w:rPr>
              <w:t>（详见备注说明）</w:t>
            </w:r>
          </w:p>
        </w:tc>
        <w:tc>
          <w:tcPr>
            <w:tcW w:w="7009" w:type="dxa"/>
            <w:vAlign w:val="center"/>
          </w:tcPr>
          <w:p w14:paraId="52D126E4">
            <w:pPr>
              <w:snapToGrid w:val="0"/>
              <w:spacing w:line="360" w:lineRule="auto"/>
              <w:rPr>
                <w:rFonts w:hint="eastAsia" w:ascii="宋体" w:hAnsi="宋体"/>
                <w:color w:val="auto"/>
                <w:sz w:val="24"/>
                <w:szCs w:val="28"/>
                <w:highlight w:val="none"/>
              </w:rPr>
            </w:pPr>
          </w:p>
          <w:p w14:paraId="0159B52A">
            <w:pPr>
              <w:snapToGrid w:val="0"/>
              <w:spacing w:line="360" w:lineRule="auto"/>
              <w:jc w:val="left"/>
              <w:rPr>
                <w:rFonts w:hint="eastAsia" w:ascii="宋体" w:hAnsi="宋体" w:cs="宋体"/>
                <w:bCs/>
                <w:color w:val="auto"/>
                <w:sz w:val="24"/>
                <w:highlight w:val="none"/>
                <w:u w:val="single"/>
              </w:rPr>
            </w:pPr>
            <w:r>
              <w:rPr>
                <w:rFonts w:hint="eastAsia" w:ascii="宋体" w:hAnsi="宋体" w:cs="宋体"/>
                <w:bCs/>
                <w:color w:val="auto"/>
                <w:sz w:val="24"/>
                <w:highlight w:val="none"/>
              </w:rPr>
              <w:t>大写：</w:t>
            </w:r>
            <w:r>
              <w:rPr>
                <w:rFonts w:hint="eastAsia" w:ascii="宋体" w:hAnsi="宋体" w:cs="宋体"/>
                <w:bCs/>
                <w:color w:val="auto"/>
                <w:sz w:val="24"/>
                <w:highlight w:val="none"/>
                <w:u w:val="single"/>
              </w:rPr>
              <w:t xml:space="preserve">               </w:t>
            </w:r>
          </w:p>
          <w:p w14:paraId="1C2E23EE">
            <w:pPr>
              <w:spacing w:line="360" w:lineRule="auto"/>
              <w:ind w:right="-670"/>
              <w:rPr>
                <w:rFonts w:hint="eastAsia" w:ascii="宋体" w:hAnsi="宋体" w:cs="宋体"/>
                <w:bCs/>
                <w:color w:val="auto"/>
                <w:sz w:val="24"/>
                <w:highlight w:val="none"/>
                <w:u w:val="single"/>
              </w:rPr>
            </w:pPr>
            <w:r>
              <w:rPr>
                <w:rFonts w:hint="eastAsia" w:ascii="宋体" w:hAnsi="宋体" w:cs="宋体"/>
                <w:bCs/>
                <w:color w:val="auto"/>
                <w:sz w:val="24"/>
                <w:highlight w:val="none"/>
              </w:rPr>
              <w:t>小写：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w:t>
            </w:r>
            <w:r>
              <w:rPr>
                <w:rFonts w:hint="eastAsia" w:ascii="宋体" w:hAnsi="宋体" w:cs="宋体"/>
                <w:bCs/>
                <w:color w:val="auto"/>
                <w:sz w:val="24"/>
                <w:highlight w:val="none"/>
                <w:u w:val="single"/>
              </w:rPr>
              <w:t xml:space="preserve">    </w:t>
            </w:r>
          </w:p>
          <w:p w14:paraId="07578226">
            <w:pPr>
              <w:widowControl/>
              <w:spacing w:line="360" w:lineRule="exact"/>
              <w:rPr>
                <w:rFonts w:hint="eastAsia" w:ascii="宋体" w:hAnsi="宋体"/>
                <w:b/>
                <w:color w:val="auto"/>
                <w:sz w:val="24"/>
                <w:highlight w:val="none"/>
              </w:rPr>
            </w:pPr>
            <w:r>
              <w:rPr>
                <w:rFonts w:hint="eastAsia" w:ascii="宋体" w:hAnsi="宋体" w:cs="Times New Roman"/>
                <w:color w:val="auto"/>
                <w:sz w:val="24"/>
                <w:szCs w:val="28"/>
                <w:highlight w:val="none"/>
                <w:lang w:val="en-US" w:eastAsia="zh-CN"/>
              </w:rPr>
              <w:t>注：费率报价</w:t>
            </w:r>
          </w:p>
        </w:tc>
      </w:tr>
      <w:tr w14:paraId="762EE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7" w:hRule="atLeast"/>
        </w:trPr>
        <w:tc>
          <w:tcPr>
            <w:tcW w:w="2844" w:type="dxa"/>
            <w:vAlign w:val="center"/>
          </w:tcPr>
          <w:p w14:paraId="4F0F4374">
            <w:pPr>
              <w:spacing w:line="360" w:lineRule="auto"/>
              <w:jc w:val="center"/>
              <w:rPr>
                <w:rFonts w:hint="eastAsia" w:ascii="宋体" w:hAnsi="宋体"/>
                <w:b/>
                <w:color w:val="auto"/>
                <w:sz w:val="24"/>
                <w:highlight w:val="none"/>
              </w:rPr>
            </w:pPr>
            <w:r>
              <w:rPr>
                <w:rFonts w:hint="eastAsia" w:ascii="宋体" w:hAnsi="宋体"/>
                <w:b/>
                <w:color w:val="auto"/>
                <w:sz w:val="24"/>
                <w:highlight w:val="none"/>
              </w:rPr>
              <w:t>备注说明</w:t>
            </w:r>
          </w:p>
        </w:tc>
        <w:tc>
          <w:tcPr>
            <w:tcW w:w="7009" w:type="dxa"/>
          </w:tcPr>
          <w:p w14:paraId="580E999F">
            <w:pPr>
              <w:spacing w:line="360" w:lineRule="auto"/>
              <w:rPr>
                <w:rFonts w:hint="eastAsia" w:ascii="宋体" w:hAnsi="宋体"/>
                <w:b/>
                <w:color w:val="auto"/>
                <w:sz w:val="24"/>
                <w:highlight w:val="none"/>
              </w:rPr>
            </w:pPr>
          </w:p>
        </w:tc>
      </w:tr>
    </w:tbl>
    <w:p w14:paraId="014554D2">
      <w:pPr>
        <w:adjustRightInd w:val="0"/>
        <w:snapToGrid w:val="0"/>
        <w:spacing w:line="360" w:lineRule="auto"/>
        <w:rPr>
          <w:rFonts w:hint="eastAsia" w:ascii="宋体" w:hAnsi="宋体"/>
          <w:color w:val="auto"/>
          <w:szCs w:val="21"/>
          <w:highlight w:val="none"/>
        </w:rPr>
      </w:pPr>
    </w:p>
    <w:p w14:paraId="279F38C5">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供应商名称（公章）：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659080FB">
      <w:pPr>
        <w:adjustRightInd w:val="0"/>
        <w:snapToGrid w:val="0"/>
        <w:spacing w:line="360" w:lineRule="auto"/>
        <w:rPr>
          <w:rFonts w:hint="eastAsia" w:ascii="宋体" w:hAnsi="宋体"/>
          <w:color w:val="auto"/>
          <w:szCs w:val="21"/>
          <w:highlight w:val="none"/>
        </w:rPr>
      </w:pPr>
    </w:p>
    <w:p w14:paraId="49669A42">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法定代表人或其授权代表(签字或盖章)：</w:t>
      </w:r>
      <w:r>
        <w:rPr>
          <w:rFonts w:hint="eastAsia" w:ascii="宋体" w:hAnsi="宋体"/>
          <w:color w:val="auto"/>
          <w:szCs w:val="21"/>
          <w:highlight w:val="none"/>
          <w:u w:val="single"/>
        </w:rPr>
        <w:t xml:space="preserve">                  </w:t>
      </w:r>
    </w:p>
    <w:p w14:paraId="0E911D71">
      <w:pPr>
        <w:adjustRightInd w:val="0"/>
        <w:snapToGrid w:val="0"/>
        <w:spacing w:line="360" w:lineRule="auto"/>
        <w:rPr>
          <w:rFonts w:hint="eastAsia" w:ascii="宋体" w:hAnsi="宋体"/>
          <w:color w:val="auto"/>
          <w:szCs w:val="21"/>
          <w:highlight w:val="none"/>
        </w:rPr>
      </w:pPr>
    </w:p>
    <w:p w14:paraId="11DBD64E">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    年    月    日</w:t>
      </w:r>
    </w:p>
    <w:p w14:paraId="5AC1DD64">
      <w:pPr>
        <w:adjustRightInd w:val="0"/>
        <w:snapToGrid w:val="0"/>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1.本表内容根据磋商文件要求包括了服务及其配套的设计、采购、制造、检测、试验、运输、保险、仓储、税费以及现场落地、安装及安装耗损、调试、培训、技术服务（包括技术资料、图纸的提供）质保期内的售后服务保障或与本项目内容相关的可能发生的所有费用。</w:t>
      </w:r>
    </w:p>
    <w:p w14:paraId="2161386D">
      <w:pPr>
        <w:adjustRightInd w:val="0"/>
        <w:snapToGrid w:val="0"/>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2.特殊事项在备注中注明。</w:t>
      </w:r>
    </w:p>
    <w:p w14:paraId="681D13A3">
      <w:pPr>
        <w:adjustRightInd w:val="0"/>
        <w:snapToGrid w:val="0"/>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3.表中大写金额与小写金额不一致的，以大写金额为准。</w:t>
      </w:r>
    </w:p>
    <w:p w14:paraId="3C1DF818">
      <w:pPr>
        <w:spacing w:before="120" w:beforeLines="50" w:after="120" w:afterLines="50" w:line="360" w:lineRule="auto"/>
        <w:jc w:val="left"/>
        <w:outlineLvl w:val="2"/>
        <w:rPr>
          <w:rFonts w:hint="eastAsia" w:ascii="宋体" w:hAnsi="宋体"/>
          <w:b/>
          <w:color w:val="auto"/>
          <w:sz w:val="24"/>
          <w:szCs w:val="28"/>
          <w:highlight w:val="none"/>
        </w:rPr>
      </w:pPr>
      <w:r>
        <w:rPr>
          <w:color w:val="auto"/>
          <w:highlight w:val="none"/>
        </w:rPr>
        <w:br w:type="page"/>
      </w:r>
      <w:r>
        <w:rPr>
          <w:rFonts w:hint="eastAsia" w:ascii="宋体" w:hAnsi="宋体"/>
          <w:b/>
          <w:color w:val="auto"/>
          <w:sz w:val="24"/>
          <w:szCs w:val="28"/>
          <w:highlight w:val="none"/>
        </w:rPr>
        <w:t>1-2 分项报价明细表</w:t>
      </w:r>
    </w:p>
    <w:p w14:paraId="62952637">
      <w:pPr>
        <w:spacing w:line="360" w:lineRule="auto"/>
        <w:ind w:firstLine="435"/>
        <w:jc w:val="center"/>
        <w:rPr>
          <w:rFonts w:hint="eastAsia" w:ascii="宋体" w:hAnsi="宋体"/>
          <w:b/>
          <w:color w:val="auto"/>
          <w:sz w:val="24"/>
          <w:highlight w:val="none"/>
        </w:rPr>
      </w:pPr>
      <w:r>
        <w:rPr>
          <w:rFonts w:hint="eastAsia" w:ascii="宋体" w:hAnsi="宋体"/>
          <w:i/>
          <w:color w:val="auto"/>
          <w:sz w:val="24"/>
          <w:highlight w:val="none"/>
        </w:rPr>
        <w:t>（仅供参考，供应商可自行制作格式）</w:t>
      </w:r>
    </w:p>
    <w:tbl>
      <w:tblPr>
        <w:tblStyle w:val="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111"/>
        <w:gridCol w:w="1358"/>
        <w:gridCol w:w="1699"/>
        <w:gridCol w:w="1569"/>
      </w:tblGrid>
      <w:tr w14:paraId="1887D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791" w:type="dxa"/>
            <w:vAlign w:val="center"/>
          </w:tcPr>
          <w:p w14:paraId="54558C24">
            <w:pPr>
              <w:jc w:val="center"/>
              <w:rPr>
                <w:rFonts w:hint="eastAsia" w:ascii="宋体" w:hAnsi="宋体"/>
                <w:b/>
                <w:color w:val="auto"/>
                <w:sz w:val="24"/>
                <w:highlight w:val="none"/>
              </w:rPr>
            </w:pPr>
            <w:r>
              <w:rPr>
                <w:rFonts w:hint="eastAsia" w:ascii="宋体" w:hAnsi="宋体"/>
                <w:b/>
                <w:color w:val="auto"/>
                <w:sz w:val="24"/>
                <w:highlight w:val="none"/>
              </w:rPr>
              <w:t>序号</w:t>
            </w:r>
          </w:p>
        </w:tc>
        <w:tc>
          <w:tcPr>
            <w:tcW w:w="3111" w:type="dxa"/>
            <w:vAlign w:val="center"/>
          </w:tcPr>
          <w:p w14:paraId="0830BD55">
            <w:pPr>
              <w:jc w:val="center"/>
              <w:rPr>
                <w:rFonts w:hint="eastAsia" w:ascii="宋体" w:hAnsi="宋体"/>
                <w:b/>
                <w:color w:val="auto"/>
                <w:sz w:val="24"/>
                <w:highlight w:val="none"/>
              </w:rPr>
            </w:pPr>
            <w:r>
              <w:rPr>
                <w:rFonts w:hint="eastAsia" w:ascii="宋体" w:hAnsi="宋体"/>
                <w:b/>
                <w:color w:val="auto"/>
                <w:sz w:val="24"/>
                <w:highlight w:val="none"/>
              </w:rPr>
              <w:t>服务内容</w:t>
            </w:r>
          </w:p>
        </w:tc>
        <w:tc>
          <w:tcPr>
            <w:tcW w:w="1358" w:type="dxa"/>
            <w:vAlign w:val="center"/>
          </w:tcPr>
          <w:p w14:paraId="64FA7EAA">
            <w:pPr>
              <w:jc w:val="center"/>
              <w:rPr>
                <w:rFonts w:hint="eastAsia" w:ascii="宋体" w:hAnsi="宋体"/>
                <w:b/>
                <w:color w:val="auto"/>
                <w:sz w:val="24"/>
                <w:highlight w:val="none"/>
              </w:rPr>
            </w:pPr>
            <w:r>
              <w:rPr>
                <w:rFonts w:hint="eastAsia" w:ascii="宋体" w:hAnsi="宋体"/>
                <w:b/>
                <w:color w:val="auto"/>
                <w:sz w:val="24"/>
                <w:highlight w:val="none"/>
              </w:rPr>
              <w:t>项</w:t>
            </w:r>
          </w:p>
        </w:tc>
        <w:tc>
          <w:tcPr>
            <w:tcW w:w="1699" w:type="dxa"/>
            <w:vAlign w:val="center"/>
          </w:tcPr>
          <w:p w14:paraId="5E7D1AE1">
            <w:pPr>
              <w:jc w:val="center"/>
              <w:rPr>
                <w:rFonts w:hint="eastAsia" w:ascii="宋体" w:hAnsi="宋体"/>
                <w:b/>
                <w:color w:val="auto"/>
                <w:sz w:val="24"/>
                <w:highlight w:val="none"/>
              </w:rPr>
            </w:pPr>
            <w:r>
              <w:rPr>
                <w:rFonts w:hint="eastAsia" w:ascii="宋体" w:hAnsi="宋体"/>
                <w:b/>
                <w:color w:val="auto"/>
                <w:sz w:val="24"/>
                <w:highlight w:val="none"/>
              </w:rPr>
              <w:t>单价</w:t>
            </w:r>
          </w:p>
        </w:tc>
        <w:tc>
          <w:tcPr>
            <w:tcW w:w="1569" w:type="dxa"/>
            <w:vAlign w:val="center"/>
          </w:tcPr>
          <w:p w14:paraId="2EA4C786">
            <w:pPr>
              <w:jc w:val="center"/>
              <w:rPr>
                <w:rFonts w:hint="eastAsia" w:ascii="宋体" w:hAnsi="宋体"/>
                <w:b/>
                <w:color w:val="auto"/>
                <w:sz w:val="24"/>
                <w:highlight w:val="none"/>
              </w:rPr>
            </w:pPr>
            <w:r>
              <w:rPr>
                <w:rFonts w:hint="eastAsia" w:ascii="宋体" w:hAnsi="宋体"/>
                <w:b/>
                <w:color w:val="auto"/>
                <w:sz w:val="24"/>
                <w:highlight w:val="none"/>
              </w:rPr>
              <w:t>小计金额（元）</w:t>
            </w:r>
          </w:p>
        </w:tc>
      </w:tr>
      <w:tr w14:paraId="036AD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91" w:type="dxa"/>
            <w:tcBorders>
              <w:bottom w:val="single" w:color="auto" w:sz="4" w:space="0"/>
            </w:tcBorders>
            <w:vAlign w:val="center"/>
          </w:tcPr>
          <w:p w14:paraId="63E6C7C0">
            <w:pPr>
              <w:jc w:val="center"/>
              <w:rPr>
                <w:rFonts w:hint="eastAsia" w:ascii="宋体" w:hAnsi="宋体"/>
                <w:color w:val="auto"/>
                <w:sz w:val="24"/>
                <w:highlight w:val="none"/>
              </w:rPr>
            </w:pPr>
            <w:r>
              <w:rPr>
                <w:rFonts w:hint="eastAsia" w:ascii="宋体" w:hAnsi="宋体"/>
                <w:color w:val="auto"/>
                <w:sz w:val="24"/>
                <w:highlight w:val="none"/>
              </w:rPr>
              <w:t>1</w:t>
            </w:r>
          </w:p>
        </w:tc>
        <w:tc>
          <w:tcPr>
            <w:tcW w:w="3111" w:type="dxa"/>
            <w:vAlign w:val="center"/>
          </w:tcPr>
          <w:p w14:paraId="2F390106">
            <w:pPr>
              <w:jc w:val="center"/>
              <w:rPr>
                <w:rFonts w:hint="eastAsia" w:ascii="宋体" w:hAnsi="宋体"/>
                <w:color w:val="auto"/>
                <w:sz w:val="24"/>
                <w:highlight w:val="none"/>
              </w:rPr>
            </w:pPr>
          </w:p>
        </w:tc>
        <w:tc>
          <w:tcPr>
            <w:tcW w:w="1358" w:type="dxa"/>
            <w:vAlign w:val="center"/>
          </w:tcPr>
          <w:p w14:paraId="6BD56C83">
            <w:pPr>
              <w:jc w:val="center"/>
              <w:rPr>
                <w:rFonts w:hint="eastAsia" w:ascii="宋体" w:hAnsi="宋体"/>
                <w:color w:val="auto"/>
                <w:sz w:val="24"/>
                <w:highlight w:val="none"/>
              </w:rPr>
            </w:pPr>
          </w:p>
        </w:tc>
        <w:tc>
          <w:tcPr>
            <w:tcW w:w="1699" w:type="dxa"/>
            <w:vAlign w:val="center"/>
          </w:tcPr>
          <w:p w14:paraId="21B2C213">
            <w:pPr>
              <w:jc w:val="center"/>
              <w:rPr>
                <w:rFonts w:hint="eastAsia" w:ascii="宋体" w:hAnsi="宋体"/>
                <w:color w:val="auto"/>
                <w:sz w:val="24"/>
                <w:highlight w:val="none"/>
              </w:rPr>
            </w:pPr>
          </w:p>
        </w:tc>
        <w:tc>
          <w:tcPr>
            <w:tcW w:w="1569" w:type="dxa"/>
            <w:vAlign w:val="center"/>
          </w:tcPr>
          <w:p w14:paraId="2896C160">
            <w:pPr>
              <w:jc w:val="center"/>
              <w:rPr>
                <w:rFonts w:hint="eastAsia" w:ascii="宋体" w:hAnsi="宋体"/>
                <w:color w:val="auto"/>
                <w:sz w:val="24"/>
                <w:highlight w:val="none"/>
              </w:rPr>
            </w:pPr>
          </w:p>
        </w:tc>
      </w:tr>
      <w:tr w14:paraId="43827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91" w:type="dxa"/>
            <w:vAlign w:val="center"/>
          </w:tcPr>
          <w:p w14:paraId="10C98C32">
            <w:pPr>
              <w:jc w:val="center"/>
              <w:rPr>
                <w:rFonts w:hint="eastAsia" w:ascii="宋体" w:hAnsi="宋体"/>
                <w:color w:val="auto"/>
                <w:sz w:val="24"/>
                <w:highlight w:val="none"/>
              </w:rPr>
            </w:pPr>
            <w:r>
              <w:rPr>
                <w:rFonts w:hint="eastAsia" w:ascii="宋体" w:hAnsi="宋体"/>
                <w:color w:val="auto"/>
                <w:sz w:val="24"/>
                <w:highlight w:val="none"/>
              </w:rPr>
              <w:t>2</w:t>
            </w:r>
          </w:p>
        </w:tc>
        <w:tc>
          <w:tcPr>
            <w:tcW w:w="3111" w:type="dxa"/>
            <w:vAlign w:val="center"/>
          </w:tcPr>
          <w:p w14:paraId="4FBF1E09">
            <w:pPr>
              <w:jc w:val="center"/>
              <w:rPr>
                <w:rFonts w:hint="eastAsia" w:ascii="宋体" w:hAnsi="宋体"/>
                <w:color w:val="auto"/>
                <w:sz w:val="24"/>
                <w:highlight w:val="none"/>
              </w:rPr>
            </w:pPr>
          </w:p>
        </w:tc>
        <w:tc>
          <w:tcPr>
            <w:tcW w:w="1358" w:type="dxa"/>
            <w:vAlign w:val="center"/>
          </w:tcPr>
          <w:p w14:paraId="47DC6275">
            <w:pPr>
              <w:jc w:val="center"/>
              <w:rPr>
                <w:rFonts w:hint="eastAsia" w:ascii="宋体" w:hAnsi="宋体"/>
                <w:color w:val="auto"/>
                <w:sz w:val="24"/>
                <w:highlight w:val="none"/>
              </w:rPr>
            </w:pPr>
          </w:p>
        </w:tc>
        <w:tc>
          <w:tcPr>
            <w:tcW w:w="1699" w:type="dxa"/>
            <w:vAlign w:val="center"/>
          </w:tcPr>
          <w:p w14:paraId="014C6591">
            <w:pPr>
              <w:jc w:val="center"/>
              <w:rPr>
                <w:rFonts w:hint="eastAsia" w:ascii="宋体" w:hAnsi="宋体"/>
                <w:color w:val="auto"/>
                <w:sz w:val="24"/>
                <w:highlight w:val="none"/>
              </w:rPr>
            </w:pPr>
          </w:p>
        </w:tc>
        <w:tc>
          <w:tcPr>
            <w:tcW w:w="1569" w:type="dxa"/>
            <w:vAlign w:val="center"/>
          </w:tcPr>
          <w:p w14:paraId="287BF6A1">
            <w:pPr>
              <w:jc w:val="center"/>
              <w:rPr>
                <w:rFonts w:hint="eastAsia" w:ascii="宋体" w:hAnsi="宋体"/>
                <w:color w:val="auto"/>
                <w:sz w:val="24"/>
                <w:highlight w:val="none"/>
              </w:rPr>
            </w:pPr>
          </w:p>
        </w:tc>
      </w:tr>
      <w:tr w14:paraId="2F57B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91" w:type="dxa"/>
            <w:vAlign w:val="center"/>
          </w:tcPr>
          <w:p w14:paraId="6AA9A6F2">
            <w:pPr>
              <w:jc w:val="center"/>
              <w:rPr>
                <w:rFonts w:hint="eastAsia" w:ascii="宋体" w:hAnsi="宋体"/>
                <w:color w:val="auto"/>
                <w:sz w:val="24"/>
                <w:highlight w:val="none"/>
              </w:rPr>
            </w:pPr>
            <w:r>
              <w:rPr>
                <w:rFonts w:hint="eastAsia" w:ascii="宋体" w:hAnsi="宋体"/>
                <w:color w:val="auto"/>
                <w:sz w:val="24"/>
                <w:highlight w:val="none"/>
              </w:rPr>
              <w:t>3</w:t>
            </w:r>
          </w:p>
        </w:tc>
        <w:tc>
          <w:tcPr>
            <w:tcW w:w="3111" w:type="dxa"/>
            <w:vAlign w:val="center"/>
          </w:tcPr>
          <w:p w14:paraId="39C69F8A">
            <w:pPr>
              <w:jc w:val="center"/>
              <w:rPr>
                <w:rFonts w:hint="eastAsia" w:ascii="宋体" w:hAnsi="宋体"/>
                <w:color w:val="auto"/>
                <w:sz w:val="24"/>
                <w:highlight w:val="none"/>
              </w:rPr>
            </w:pPr>
          </w:p>
        </w:tc>
        <w:tc>
          <w:tcPr>
            <w:tcW w:w="1358" w:type="dxa"/>
            <w:vAlign w:val="center"/>
          </w:tcPr>
          <w:p w14:paraId="0AE88BF0">
            <w:pPr>
              <w:jc w:val="center"/>
              <w:rPr>
                <w:rFonts w:hint="eastAsia" w:ascii="宋体" w:hAnsi="宋体"/>
                <w:color w:val="auto"/>
                <w:sz w:val="24"/>
                <w:highlight w:val="none"/>
              </w:rPr>
            </w:pPr>
          </w:p>
        </w:tc>
        <w:tc>
          <w:tcPr>
            <w:tcW w:w="1699" w:type="dxa"/>
            <w:vAlign w:val="center"/>
          </w:tcPr>
          <w:p w14:paraId="60ECC980">
            <w:pPr>
              <w:jc w:val="center"/>
              <w:rPr>
                <w:rFonts w:hint="eastAsia" w:ascii="宋体" w:hAnsi="宋体"/>
                <w:color w:val="auto"/>
                <w:sz w:val="24"/>
                <w:highlight w:val="none"/>
              </w:rPr>
            </w:pPr>
          </w:p>
        </w:tc>
        <w:tc>
          <w:tcPr>
            <w:tcW w:w="1569" w:type="dxa"/>
            <w:vAlign w:val="center"/>
          </w:tcPr>
          <w:p w14:paraId="5CEDD3F3">
            <w:pPr>
              <w:jc w:val="center"/>
              <w:rPr>
                <w:rFonts w:hint="eastAsia" w:ascii="宋体" w:hAnsi="宋体"/>
                <w:color w:val="auto"/>
                <w:sz w:val="24"/>
                <w:highlight w:val="none"/>
              </w:rPr>
            </w:pPr>
          </w:p>
        </w:tc>
      </w:tr>
      <w:tr w14:paraId="397E9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91" w:type="dxa"/>
            <w:vAlign w:val="center"/>
          </w:tcPr>
          <w:p w14:paraId="7259773C">
            <w:pPr>
              <w:jc w:val="center"/>
              <w:rPr>
                <w:rFonts w:hint="eastAsia" w:ascii="宋体" w:hAnsi="宋体"/>
                <w:color w:val="auto"/>
                <w:sz w:val="24"/>
                <w:highlight w:val="none"/>
              </w:rPr>
            </w:pPr>
            <w:r>
              <w:rPr>
                <w:rFonts w:ascii="宋体" w:hAnsi="宋体"/>
                <w:color w:val="auto"/>
                <w:sz w:val="24"/>
                <w:highlight w:val="none"/>
              </w:rPr>
              <w:t>…</w:t>
            </w:r>
          </w:p>
        </w:tc>
        <w:tc>
          <w:tcPr>
            <w:tcW w:w="3111" w:type="dxa"/>
            <w:vAlign w:val="center"/>
          </w:tcPr>
          <w:p w14:paraId="10508929">
            <w:pPr>
              <w:jc w:val="center"/>
              <w:rPr>
                <w:rFonts w:hint="eastAsia" w:ascii="宋体" w:hAnsi="宋体"/>
                <w:color w:val="auto"/>
                <w:sz w:val="24"/>
                <w:highlight w:val="none"/>
              </w:rPr>
            </w:pPr>
          </w:p>
        </w:tc>
        <w:tc>
          <w:tcPr>
            <w:tcW w:w="1358" w:type="dxa"/>
            <w:vAlign w:val="center"/>
          </w:tcPr>
          <w:p w14:paraId="61BB7AC1">
            <w:pPr>
              <w:jc w:val="center"/>
              <w:rPr>
                <w:rFonts w:hint="eastAsia" w:ascii="宋体" w:hAnsi="宋体"/>
                <w:color w:val="auto"/>
                <w:sz w:val="24"/>
                <w:highlight w:val="none"/>
              </w:rPr>
            </w:pPr>
          </w:p>
        </w:tc>
        <w:tc>
          <w:tcPr>
            <w:tcW w:w="1699" w:type="dxa"/>
            <w:vAlign w:val="center"/>
          </w:tcPr>
          <w:p w14:paraId="596EAB08">
            <w:pPr>
              <w:jc w:val="center"/>
              <w:rPr>
                <w:rFonts w:hint="eastAsia" w:ascii="宋体" w:hAnsi="宋体"/>
                <w:color w:val="auto"/>
                <w:sz w:val="24"/>
                <w:highlight w:val="none"/>
              </w:rPr>
            </w:pPr>
          </w:p>
        </w:tc>
        <w:tc>
          <w:tcPr>
            <w:tcW w:w="1569" w:type="dxa"/>
            <w:vAlign w:val="center"/>
          </w:tcPr>
          <w:p w14:paraId="1CC60966">
            <w:pPr>
              <w:jc w:val="center"/>
              <w:rPr>
                <w:rFonts w:hint="eastAsia" w:ascii="宋体" w:hAnsi="宋体"/>
                <w:color w:val="auto"/>
                <w:sz w:val="24"/>
                <w:highlight w:val="none"/>
              </w:rPr>
            </w:pPr>
          </w:p>
        </w:tc>
      </w:tr>
      <w:tr w14:paraId="53B4C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91" w:type="dxa"/>
            <w:vAlign w:val="center"/>
          </w:tcPr>
          <w:p w14:paraId="17C980CA">
            <w:pPr>
              <w:jc w:val="center"/>
              <w:rPr>
                <w:rFonts w:hint="eastAsia" w:ascii="宋体" w:hAnsi="宋体"/>
                <w:color w:val="auto"/>
                <w:sz w:val="24"/>
                <w:highlight w:val="none"/>
              </w:rPr>
            </w:pPr>
          </w:p>
        </w:tc>
        <w:tc>
          <w:tcPr>
            <w:tcW w:w="3111" w:type="dxa"/>
            <w:vAlign w:val="center"/>
          </w:tcPr>
          <w:p w14:paraId="7B4DBBFE">
            <w:pPr>
              <w:pStyle w:val="223"/>
              <w:ind w:left="-108"/>
              <w:jc w:val="center"/>
              <w:rPr>
                <w:rFonts w:hint="eastAsia" w:ascii="宋体" w:hAnsi="宋体"/>
                <w:color w:val="auto"/>
                <w:highlight w:val="none"/>
              </w:rPr>
            </w:pPr>
            <w:r>
              <w:rPr>
                <w:rFonts w:hint="eastAsia" w:ascii="宋体" w:hAnsi="宋体"/>
                <w:color w:val="auto"/>
                <w:highlight w:val="none"/>
              </w:rPr>
              <w:t>其他费用</w:t>
            </w:r>
          </w:p>
        </w:tc>
        <w:tc>
          <w:tcPr>
            <w:tcW w:w="1358" w:type="dxa"/>
            <w:vAlign w:val="center"/>
          </w:tcPr>
          <w:p w14:paraId="4FE9492E">
            <w:pPr>
              <w:jc w:val="center"/>
              <w:rPr>
                <w:rFonts w:hint="eastAsia" w:ascii="宋体" w:hAnsi="宋体"/>
                <w:color w:val="auto"/>
                <w:sz w:val="24"/>
                <w:highlight w:val="none"/>
              </w:rPr>
            </w:pPr>
          </w:p>
        </w:tc>
        <w:tc>
          <w:tcPr>
            <w:tcW w:w="1699" w:type="dxa"/>
            <w:vAlign w:val="center"/>
          </w:tcPr>
          <w:p w14:paraId="5D293DFE">
            <w:pPr>
              <w:jc w:val="center"/>
              <w:rPr>
                <w:rFonts w:hint="eastAsia" w:ascii="宋体" w:hAnsi="宋体"/>
                <w:color w:val="auto"/>
                <w:sz w:val="24"/>
                <w:highlight w:val="none"/>
              </w:rPr>
            </w:pPr>
          </w:p>
        </w:tc>
        <w:tc>
          <w:tcPr>
            <w:tcW w:w="1569" w:type="dxa"/>
            <w:vAlign w:val="center"/>
          </w:tcPr>
          <w:p w14:paraId="265CDA60">
            <w:pPr>
              <w:jc w:val="center"/>
              <w:rPr>
                <w:rFonts w:hint="eastAsia" w:ascii="宋体" w:hAnsi="宋体"/>
                <w:color w:val="auto"/>
                <w:sz w:val="24"/>
                <w:highlight w:val="none"/>
              </w:rPr>
            </w:pPr>
          </w:p>
        </w:tc>
      </w:tr>
      <w:tr w14:paraId="1FB11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91" w:type="dxa"/>
            <w:vAlign w:val="center"/>
          </w:tcPr>
          <w:p w14:paraId="36089072">
            <w:pPr>
              <w:jc w:val="center"/>
              <w:rPr>
                <w:rFonts w:hint="eastAsia" w:ascii="宋体" w:hAnsi="宋体"/>
                <w:color w:val="auto"/>
                <w:sz w:val="24"/>
                <w:highlight w:val="none"/>
              </w:rPr>
            </w:pPr>
          </w:p>
        </w:tc>
        <w:tc>
          <w:tcPr>
            <w:tcW w:w="3111" w:type="dxa"/>
            <w:vAlign w:val="center"/>
          </w:tcPr>
          <w:p w14:paraId="253891A5">
            <w:pPr>
              <w:jc w:val="center"/>
              <w:rPr>
                <w:rFonts w:hint="eastAsia" w:ascii="宋体" w:hAnsi="宋体"/>
                <w:color w:val="auto"/>
                <w:sz w:val="24"/>
                <w:highlight w:val="none"/>
              </w:rPr>
            </w:pPr>
            <w:r>
              <w:rPr>
                <w:rFonts w:ascii="宋体" w:hAnsi="宋体"/>
                <w:color w:val="auto"/>
                <w:sz w:val="24"/>
                <w:highlight w:val="none"/>
              </w:rPr>
              <w:t>……</w:t>
            </w:r>
          </w:p>
        </w:tc>
        <w:tc>
          <w:tcPr>
            <w:tcW w:w="1358" w:type="dxa"/>
            <w:vAlign w:val="center"/>
          </w:tcPr>
          <w:p w14:paraId="37CA3871">
            <w:pPr>
              <w:jc w:val="center"/>
              <w:rPr>
                <w:rFonts w:hint="eastAsia" w:ascii="宋体" w:hAnsi="宋体"/>
                <w:color w:val="auto"/>
                <w:sz w:val="24"/>
                <w:highlight w:val="none"/>
              </w:rPr>
            </w:pPr>
          </w:p>
        </w:tc>
        <w:tc>
          <w:tcPr>
            <w:tcW w:w="1699" w:type="dxa"/>
            <w:vAlign w:val="center"/>
          </w:tcPr>
          <w:p w14:paraId="75EDBBE5">
            <w:pPr>
              <w:jc w:val="center"/>
              <w:rPr>
                <w:rFonts w:hint="eastAsia" w:ascii="宋体" w:hAnsi="宋体"/>
                <w:color w:val="auto"/>
                <w:sz w:val="24"/>
                <w:highlight w:val="none"/>
              </w:rPr>
            </w:pPr>
          </w:p>
        </w:tc>
        <w:tc>
          <w:tcPr>
            <w:tcW w:w="1569" w:type="dxa"/>
            <w:vAlign w:val="center"/>
          </w:tcPr>
          <w:p w14:paraId="609E62A5">
            <w:pPr>
              <w:jc w:val="center"/>
              <w:rPr>
                <w:rFonts w:hint="eastAsia" w:ascii="宋体" w:hAnsi="宋体"/>
                <w:color w:val="auto"/>
                <w:sz w:val="24"/>
                <w:highlight w:val="none"/>
              </w:rPr>
            </w:pPr>
          </w:p>
        </w:tc>
      </w:tr>
      <w:tr w14:paraId="5417F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959" w:type="dxa"/>
            <w:gridSpan w:val="4"/>
            <w:vAlign w:val="center"/>
          </w:tcPr>
          <w:p w14:paraId="7C82D727">
            <w:pPr>
              <w:jc w:val="center"/>
              <w:rPr>
                <w:rFonts w:hint="eastAsia" w:ascii="宋体" w:hAnsi="宋体"/>
                <w:color w:val="auto"/>
                <w:sz w:val="24"/>
                <w:highlight w:val="none"/>
              </w:rPr>
            </w:pPr>
            <w:r>
              <w:rPr>
                <w:rFonts w:hint="eastAsia" w:ascii="宋体" w:hAnsi="宋体"/>
                <w:b/>
                <w:color w:val="auto"/>
                <w:sz w:val="24"/>
                <w:highlight w:val="none"/>
              </w:rPr>
              <w:t>合计金额（元）</w:t>
            </w:r>
          </w:p>
        </w:tc>
        <w:tc>
          <w:tcPr>
            <w:tcW w:w="1569" w:type="dxa"/>
            <w:vAlign w:val="center"/>
          </w:tcPr>
          <w:p w14:paraId="639D178D">
            <w:pPr>
              <w:jc w:val="center"/>
              <w:rPr>
                <w:rFonts w:hint="eastAsia" w:ascii="宋体" w:hAnsi="宋体"/>
                <w:color w:val="auto"/>
                <w:sz w:val="24"/>
                <w:highlight w:val="none"/>
              </w:rPr>
            </w:pPr>
          </w:p>
        </w:tc>
      </w:tr>
    </w:tbl>
    <w:p w14:paraId="003F790F">
      <w:pPr>
        <w:adjustRightInd w:val="0"/>
        <w:snapToGrid w:val="0"/>
        <w:spacing w:line="360" w:lineRule="auto"/>
        <w:rPr>
          <w:rFonts w:hint="eastAsia" w:ascii="宋体" w:hAnsi="宋体"/>
          <w:color w:val="auto"/>
          <w:szCs w:val="21"/>
          <w:highlight w:val="none"/>
        </w:rPr>
      </w:pPr>
    </w:p>
    <w:p w14:paraId="3CC9F68B">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供应商名称（公章）：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6E6219E8">
      <w:pPr>
        <w:adjustRightInd w:val="0"/>
        <w:snapToGrid w:val="0"/>
        <w:spacing w:line="360" w:lineRule="auto"/>
        <w:rPr>
          <w:rFonts w:hint="eastAsia" w:ascii="宋体" w:hAnsi="宋体"/>
          <w:color w:val="auto"/>
          <w:szCs w:val="21"/>
          <w:highlight w:val="none"/>
        </w:rPr>
      </w:pPr>
    </w:p>
    <w:p w14:paraId="2B508F3B">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法定代表人或其授权代表(签字或盖章)：</w:t>
      </w:r>
      <w:r>
        <w:rPr>
          <w:rFonts w:hint="eastAsia" w:ascii="宋体" w:hAnsi="宋体"/>
          <w:color w:val="auto"/>
          <w:szCs w:val="21"/>
          <w:highlight w:val="none"/>
          <w:u w:val="single"/>
        </w:rPr>
        <w:t xml:space="preserve">                  </w:t>
      </w:r>
    </w:p>
    <w:p w14:paraId="2DB4FB9B">
      <w:pPr>
        <w:adjustRightInd w:val="0"/>
        <w:snapToGrid w:val="0"/>
        <w:spacing w:line="360" w:lineRule="auto"/>
        <w:rPr>
          <w:rFonts w:hint="eastAsia" w:ascii="宋体" w:hAnsi="宋体"/>
          <w:color w:val="auto"/>
          <w:szCs w:val="21"/>
          <w:highlight w:val="none"/>
        </w:rPr>
      </w:pPr>
    </w:p>
    <w:p w14:paraId="0A16CFB9">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    年    月    日</w:t>
      </w:r>
    </w:p>
    <w:p w14:paraId="61703968">
      <w:pPr>
        <w:adjustRightInd w:val="0"/>
        <w:snapToGrid w:val="0"/>
        <w:ind w:left="-88" w:leftChars="-42"/>
        <w:rPr>
          <w:rFonts w:hint="eastAsia" w:ascii="宋体" w:hAnsi="宋体"/>
          <w:b/>
          <w:color w:val="auto"/>
          <w:sz w:val="24"/>
          <w:highlight w:val="none"/>
        </w:rPr>
      </w:pPr>
    </w:p>
    <w:p w14:paraId="108008E4">
      <w:pPr>
        <w:adjustRightInd w:val="0"/>
        <w:snapToGrid w:val="0"/>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注：表中所列服务为对应本项目需求的全部服务内容。如有漏项或缺项，供应商承担全部责任。</w:t>
      </w:r>
    </w:p>
    <w:p w14:paraId="320E0AC9">
      <w:pPr>
        <w:spacing w:line="440" w:lineRule="exact"/>
        <w:rPr>
          <w:rFonts w:hint="eastAsia" w:ascii="宋体" w:hAnsi="宋体"/>
          <w:color w:val="auto"/>
          <w:szCs w:val="21"/>
          <w:highlight w:val="none"/>
        </w:rPr>
      </w:pPr>
    </w:p>
    <w:p w14:paraId="0E234886">
      <w:pPr>
        <w:adjustRightInd w:val="0"/>
        <w:snapToGrid w:val="0"/>
        <w:ind w:left="-88" w:leftChars="-42"/>
        <w:rPr>
          <w:rFonts w:hint="eastAsia" w:ascii="宋体" w:hAnsi="宋体" w:cs="Arial"/>
          <w:color w:val="auto"/>
          <w:szCs w:val="21"/>
          <w:highlight w:val="none"/>
        </w:rPr>
      </w:pPr>
    </w:p>
    <w:p w14:paraId="31B46BFE">
      <w:pPr>
        <w:adjustRightInd w:val="0"/>
        <w:snapToGrid w:val="0"/>
        <w:spacing w:line="360" w:lineRule="auto"/>
        <w:rPr>
          <w:rFonts w:hint="eastAsia" w:ascii="宋体" w:hAnsi="宋体"/>
          <w:color w:val="auto"/>
          <w:sz w:val="24"/>
          <w:highlight w:val="none"/>
        </w:rPr>
      </w:pPr>
    </w:p>
    <w:p w14:paraId="53EC282C">
      <w:pPr>
        <w:adjustRightInd w:val="0"/>
        <w:snapToGrid w:val="0"/>
        <w:spacing w:line="360" w:lineRule="auto"/>
        <w:rPr>
          <w:rFonts w:hint="eastAsia" w:ascii="宋体" w:hAnsi="宋体"/>
          <w:color w:val="auto"/>
          <w:sz w:val="24"/>
          <w:highlight w:val="none"/>
        </w:rPr>
      </w:pPr>
    </w:p>
    <w:p w14:paraId="6248E4FC">
      <w:pPr>
        <w:adjustRightInd w:val="0"/>
        <w:snapToGrid w:val="0"/>
        <w:spacing w:line="360" w:lineRule="auto"/>
        <w:rPr>
          <w:rFonts w:hint="eastAsia" w:ascii="宋体" w:hAnsi="宋体"/>
          <w:color w:val="auto"/>
          <w:szCs w:val="21"/>
          <w:highlight w:val="none"/>
        </w:rPr>
      </w:pPr>
    </w:p>
    <w:p w14:paraId="58E522AE">
      <w:pPr>
        <w:adjustRightInd w:val="0"/>
        <w:snapToGrid w:val="0"/>
        <w:spacing w:line="360" w:lineRule="auto"/>
        <w:rPr>
          <w:rFonts w:hint="eastAsia" w:ascii="宋体" w:hAnsi="宋体"/>
          <w:color w:val="auto"/>
          <w:szCs w:val="21"/>
          <w:highlight w:val="none"/>
        </w:rPr>
      </w:pPr>
    </w:p>
    <w:p w14:paraId="210D1F7D">
      <w:pPr>
        <w:adjustRightInd w:val="0"/>
        <w:snapToGrid w:val="0"/>
        <w:spacing w:line="360" w:lineRule="auto"/>
        <w:rPr>
          <w:rFonts w:hint="eastAsia" w:ascii="宋体" w:hAnsi="宋体"/>
          <w:color w:val="auto"/>
          <w:szCs w:val="21"/>
          <w:highlight w:val="none"/>
        </w:rPr>
      </w:pPr>
    </w:p>
    <w:p w14:paraId="31C4C1BF">
      <w:pPr>
        <w:spacing w:line="360" w:lineRule="auto"/>
        <w:jc w:val="center"/>
        <w:rPr>
          <w:rFonts w:hint="eastAsia" w:ascii="宋体" w:hAnsi="宋体"/>
          <w:color w:val="auto"/>
          <w:szCs w:val="21"/>
          <w:highlight w:val="none"/>
        </w:rPr>
      </w:pPr>
      <w:r>
        <w:rPr>
          <w:rFonts w:hint="eastAsia" w:ascii="宋体" w:hAnsi="宋体"/>
          <w:color w:val="auto"/>
          <w:szCs w:val="21"/>
          <w:highlight w:val="none"/>
        </w:rPr>
        <w:t xml:space="preserve"> </w:t>
      </w:r>
      <w:bookmarkStart w:id="192" w:name="_Toc461056632"/>
      <w:bookmarkStart w:id="193" w:name="_Toc461053087"/>
      <w:bookmarkStart w:id="194" w:name="_Toc32436"/>
      <w:bookmarkStart w:id="195" w:name="_Toc28695"/>
      <w:bookmarkStart w:id="196" w:name="_Toc520983588"/>
      <w:bookmarkStart w:id="197" w:name="_Toc24679"/>
    </w:p>
    <w:p w14:paraId="49A858FE">
      <w:pPr>
        <w:spacing w:line="360" w:lineRule="auto"/>
        <w:jc w:val="center"/>
        <w:outlineLvl w:val="1"/>
        <w:rPr>
          <w:rFonts w:hint="eastAsia" w:ascii="宋体" w:hAnsi="宋体"/>
          <w:b/>
          <w:color w:val="auto"/>
          <w:sz w:val="24"/>
          <w:highlight w:val="none"/>
        </w:rPr>
      </w:pPr>
      <w:r>
        <w:rPr>
          <w:rFonts w:hint="eastAsia" w:ascii="宋体" w:hAnsi="宋体"/>
          <w:color w:val="auto"/>
          <w:szCs w:val="21"/>
          <w:highlight w:val="none"/>
        </w:rPr>
        <w:br w:type="page"/>
      </w:r>
      <w:r>
        <w:rPr>
          <w:rFonts w:hint="eastAsia" w:ascii="宋体" w:hAnsi="宋体"/>
          <w:b/>
          <w:color w:val="auto"/>
          <w:sz w:val="24"/>
          <w:highlight w:val="none"/>
        </w:rPr>
        <w:t>二</w:t>
      </w:r>
      <w:bookmarkEnd w:id="192"/>
      <w:bookmarkEnd w:id="193"/>
      <w:r>
        <w:rPr>
          <w:rFonts w:hint="eastAsia" w:ascii="宋体" w:hAnsi="宋体"/>
          <w:b/>
          <w:color w:val="auto"/>
          <w:sz w:val="24"/>
          <w:highlight w:val="none"/>
        </w:rPr>
        <w:t>、最后承诺报价表</w:t>
      </w:r>
      <w:bookmarkEnd w:id="194"/>
      <w:bookmarkEnd w:id="195"/>
      <w:bookmarkEnd w:id="196"/>
    </w:p>
    <w:p w14:paraId="7FB83185">
      <w:pPr>
        <w:spacing w:before="120" w:beforeLines="50" w:after="120" w:afterLines="50" w:line="360" w:lineRule="auto"/>
        <w:ind w:firstLine="236" w:firstLineChars="98"/>
        <w:jc w:val="center"/>
        <w:rPr>
          <w:rFonts w:hint="eastAsia" w:ascii="宋体" w:hAnsi="宋体"/>
          <w:b/>
          <w:color w:val="auto"/>
          <w:sz w:val="24"/>
          <w:szCs w:val="28"/>
          <w:highlight w:val="none"/>
        </w:rPr>
      </w:pPr>
      <w:r>
        <w:rPr>
          <w:rFonts w:hint="eastAsia" w:ascii="宋体" w:hAnsi="宋体"/>
          <w:b/>
          <w:color w:val="auto"/>
          <w:sz w:val="24"/>
          <w:szCs w:val="28"/>
          <w:highlight w:val="none"/>
        </w:rPr>
        <w:t>（第</w:t>
      </w:r>
      <w:r>
        <w:rPr>
          <w:rFonts w:hint="eastAsia" w:ascii="宋体" w:hAnsi="宋体"/>
          <w:b/>
          <w:color w:val="auto"/>
          <w:sz w:val="24"/>
          <w:szCs w:val="28"/>
          <w:highlight w:val="none"/>
          <w:u w:val="single"/>
        </w:rPr>
        <w:t xml:space="preserve">   </w:t>
      </w:r>
      <w:r>
        <w:rPr>
          <w:rFonts w:hint="eastAsia" w:ascii="宋体" w:hAnsi="宋体"/>
          <w:b/>
          <w:color w:val="auto"/>
          <w:sz w:val="24"/>
          <w:szCs w:val="28"/>
          <w:highlight w:val="none"/>
        </w:rPr>
        <w:t>次报价书）</w:t>
      </w:r>
    </w:p>
    <w:p w14:paraId="3B358AA6">
      <w:pPr>
        <w:snapToGrid w:val="0"/>
        <w:spacing w:line="360" w:lineRule="auto"/>
        <w:jc w:val="left"/>
        <w:rPr>
          <w:rFonts w:hint="eastAsia" w:ascii="宋体" w:hAnsi="宋体"/>
          <w:b/>
          <w:color w:val="auto"/>
          <w:sz w:val="24"/>
          <w:szCs w:val="28"/>
          <w:highlight w:val="none"/>
        </w:rPr>
      </w:pPr>
      <w:r>
        <w:rPr>
          <w:rFonts w:hint="eastAsia" w:ascii="宋体" w:hAnsi="宋体"/>
          <w:b/>
          <w:color w:val="auto"/>
          <w:sz w:val="24"/>
          <w:szCs w:val="28"/>
          <w:highlight w:val="none"/>
        </w:rPr>
        <w:t>项目名称：</w:t>
      </w:r>
      <w:r>
        <w:rPr>
          <w:rFonts w:hint="eastAsia" w:ascii="宋体" w:hAnsi="宋体"/>
          <w:b/>
          <w:color w:val="auto"/>
          <w:sz w:val="24"/>
          <w:szCs w:val="28"/>
          <w:highlight w:val="none"/>
          <w:u w:val="single"/>
        </w:rPr>
        <w:t xml:space="preserve">          </w:t>
      </w:r>
    </w:p>
    <w:p w14:paraId="7BB4EC01">
      <w:pPr>
        <w:snapToGrid w:val="0"/>
        <w:spacing w:after="120" w:afterLines="50" w:line="360" w:lineRule="auto"/>
        <w:jc w:val="left"/>
        <w:rPr>
          <w:rFonts w:hint="eastAsia" w:ascii="宋体" w:hAnsi="宋体"/>
          <w:b/>
          <w:bCs/>
          <w:color w:val="auto"/>
          <w:sz w:val="24"/>
          <w:szCs w:val="28"/>
          <w:highlight w:val="none"/>
        </w:rPr>
      </w:pPr>
      <w:r>
        <w:rPr>
          <w:rFonts w:hint="eastAsia" w:ascii="宋体" w:hAnsi="宋体"/>
          <w:b/>
          <w:color w:val="auto"/>
          <w:sz w:val="24"/>
          <w:szCs w:val="28"/>
          <w:highlight w:val="none"/>
        </w:rPr>
        <w:t>项目编号：</w:t>
      </w:r>
      <w:r>
        <w:rPr>
          <w:rFonts w:hint="eastAsia" w:ascii="宋体" w:hAnsi="宋体"/>
          <w:b/>
          <w:color w:val="auto"/>
          <w:sz w:val="24"/>
          <w:szCs w:val="28"/>
          <w:highlight w:val="none"/>
          <w:u w:val="single"/>
        </w:rPr>
        <w:t xml:space="preserve">          </w:t>
      </w:r>
    </w:p>
    <w:tbl>
      <w:tblPr>
        <w:tblStyle w:val="77"/>
        <w:tblW w:w="9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7009"/>
      </w:tblGrid>
      <w:tr w14:paraId="7F86D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844" w:type="dxa"/>
            <w:tcBorders>
              <w:top w:val="single" w:color="auto" w:sz="4" w:space="0"/>
              <w:left w:val="single" w:color="auto" w:sz="4" w:space="0"/>
              <w:bottom w:val="single" w:color="auto" w:sz="4" w:space="0"/>
              <w:right w:val="single" w:color="auto" w:sz="4" w:space="0"/>
            </w:tcBorders>
            <w:vAlign w:val="center"/>
          </w:tcPr>
          <w:p w14:paraId="4D5FC2ED">
            <w:pPr>
              <w:spacing w:line="360" w:lineRule="auto"/>
              <w:jc w:val="center"/>
              <w:rPr>
                <w:rFonts w:hint="eastAsia" w:ascii="宋体" w:hAnsi="宋体"/>
                <w:b/>
                <w:color w:val="auto"/>
                <w:sz w:val="24"/>
                <w:highlight w:val="none"/>
              </w:rPr>
            </w:pPr>
            <w:r>
              <w:rPr>
                <w:rFonts w:hint="eastAsia" w:ascii="宋体" w:hAnsi="宋体"/>
                <w:b/>
                <w:color w:val="auto"/>
                <w:sz w:val="24"/>
                <w:highlight w:val="none"/>
              </w:rPr>
              <w:t>供应商名称</w:t>
            </w:r>
          </w:p>
        </w:tc>
        <w:tc>
          <w:tcPr>
            <w:tcW w:w="7009" w:type="dxa"/>
            <w:tcBorders>
              <w:left w:val="single" w:color="auto" w:sz="4" w:space="0"/>
            </w:tcBorders>
          </w:tcPr>
          <w:p w14:paraId="4A86B39B">
            <w:pPr>
              <w:spacing w:line="360" w:lineRule="auto"/>
              <w:rPr>
                <w:rFonts w:hint="eastAsia" w:ascii="宋体" w:hAnsi="宋体"/>
                <w:b/>
                <w:color w:val="auto"/>
                <w:sz w:val="24"/>
                <w:highlight w:val="none"/>
              </w:rPr>
            </w:pPr>
          </w:p>
        </w:tc>
      </w:tr>
      <w:tr w14:paraId="6A242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2844" w:type="dxa"/>
            <w:tcBorders>
              <w:top w:val="single" w:color="auto" w:sz="4" w:space="0"/>
              <w:left w:val="single" w:color="auto" w:sz="4" w:space="0"/>
              <w:bottom w:val="single" w:color="auto" w:sz="4" w:space="0"/>
              <w:right w:val="single" w:color="auto" w:sz="4" w:space="0"/>
            </w:tcBorders>
            <w:vAlign w:val="center"/>
          </w:tcPr>
          <w:p w14:paraId="4BA8680D">
            <w:pPr>
              <w:spacing w:line="360" w:lineRule="exact"/>
              <w:jc w:val="center"/>
              <w:rPr>
                <w:rFonts w:hint="eastAsia" w:ascii="宋体" w:hAnsi="宋体"/>
                <w:b/>
                <w:color w:val="auto"/>
                <w:sz w:val="24"/>
                <w:highlight w:val="none"/>
              </w:rPr>
            </w:pPr>
            <w:r>
              <w:rPr>
                <w:rFonts w:hint="eastAsia" w:ascii="宋体" w:hAnsi="宋体"/>
                <w:b/>
                <w:bCs/>
                <w:color w:val="auto"/>
                <w:sz w:val="24"/>
                <w:szCs w:val="28"/>
                <w:highlight w:val="none"/>
              </w:rPr>
              <w:t>磋商</w:t>
            </w:r>
            <w:r>
              <w:rPr>
                <w:rFonts w:hint="eastAsia" w:ascii="宋体" w:hAnsi="宋体"/>
                <w:b/>
                <w:color w:val="auto"/>
                <w:sz w:val="24"/>
                <w:highlight w:val="none"/>
              </w:rPr>
              <w:t>范围</w:t>
            </w:r>
          </w:p>
        </w:tc>
        <w:tc>
          <w:tcPr>
            <w:tcW w:w="7009" w:type="dxa"/>
            <w:tcBorders>
              <w:left w:val="single" w:color="auto" w:sz="4" w:space="0"/>
            </w:tcBorders>
            <w:vAlign w:val="center"/>
          </w:tcPr>
          <w:p w14:paraId="6811A854">
            <w:pPr>
              <w:widowControl/>
              <w:spacing w:line="360" w:lineRule="exact"/>
              <w:rPr>
                <w:rFonts w:hint="eastAsia" w:ascii="宋体" w:hAnsi="宋体"/>
                <w:b/>
                <w:color w:val="auto"/>
                <w:sz w:val="24"/>
                <w:highlight w:val="none"/>
              </w:rPr>
            </w:pPr>
            <w:r>
              <w:rPr>
                <w:rFonts w:hint="eastAsia" w:ascii="宋体" w:hAnsi="宋体"/>
                <w:color w:val="auto"/>
                <w:sz w:val="24"/>
                <w:szCs w:val="28"/>
                <w:highlight w:val="none"/>
              </w:rPr>
              <w:t xml:space="preserve">全部 </w:t>
            </w:r>
          </w:p>
        </w:tc>
      </w:tr>
      <w:tr w14:paraId="0C015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2844" w:type="dxa"/>
            <w:tcBorders>
              <w:top w:val="single" w:color="auto" w:sz="4" w:space="0"/>
            </w:tcBorders>
            <w:vAlign w:val="center"/>
          </w:tcPr>
          <w:p w14:paraId="04D89620">
            <w:pPr>
              <w:spacing w:line="360" w:lineRule="auto"/>
              <w:jc w:val="center"/>
              <w:rPr>
                <w:rFonts w:hint="eastAsia" w:ascii="宋体" w:hAnsi="宋体"/>
                <w:b/>
                <w:color w:val="auto"/>
                <w:sz w:val="24"/>
                <w:highlight w:val="none"/>
              </w:rPr>
            </w:pPr>
            <w:r>
              <w:rPr>
                <w:rFonts w:hint="eastAsia" w:ascii="宋体" w:hAnsi="宋体"/>
                <w:b/>
                <w:bCs/>
                <w:color w:val="auto"/>
                <w:sz w:val="24"/>
                <w:szCs w:val="28"/>
                <w:highlight w:val="none"/>
              </w:rPr>
              <w:t>最后报价</w:t>
            </w:r>
          </w:p>
          <w:p w14:paraId="5695F9FA">
            <w:pPr>
              <w:spacing w:line="360" w:lineRule="auto"/>
              <w:jc w:val="center"/>
              <w:rPr>
                <w:rFonts w:hint="eastAsia" w:ascii="宋体" w:hAnsi="宋体"/>
                <w:b/>
                <w:color w:val="auto"/>
                <w:sz w:val="24"/>
                <w:highlight w:val="none"/>
              </w:rPr>
            </w:pPr>
            <w:r>
              <w:rPr>
                <w:rFonts w:hint="eastAsia" w:ascii="宋体" w:hAnsi="宋体"/>
                <w:b/>
                <w:color w:val="auto"/>
                <w:sz w:val="24"/>
                <w:highlight w:val="none"/>
              </w:rPr>
              <w:t>（详见备注说明）</w:t>
            </w:r>
          </w:p>
        </w:tc>
        <w:tc>
          <w:tcPr>
            <w:tcW w:w="7009" w:type="dxa"/>
            <w:vAlign w:val="center"/>
          </w:tcPr>
          <w:p w14:paraId="20108943">
            <w:pPr>
              <w:snapToGrid w:val="0"/>
              <w:spacing w:line="360" w:lineRule="auto"/>
              <w:rPr>
                <w:rFonts w:hint="eastAsia" w:ascii="宋体" w:hAnsi="宋体"/>
                <w:color w:val="auto"/>
                <w:sz w:val="24"/>
                <w:szCs w:val="28"/>
                <w:highlight w:val="none"/>
              </w:rPr>
            </w:pPr>
          </w:p>
          <w:p w14:paraId="79685A73">
            <w:pPr>
              <w:snapToGrid w:val="0"/>
              <w:spacing w:line="360" w:lineRule="auto"/>
              <w:jc w:val="left"/>
              <w:rPr>
                <w:rFonts w:hint="eastAsia" w:ascii="宋体" w:hAnsi="宋体" w:cs="宋体"/>
                <w:bCs/>
                <w:color w:val="auto"/>
                <w:sz w:val="24"/>
                <w:highlight w:val="none"/>
                <w:u w:val="single"/>
              </w:rPr>
            </w:pPr>
            <w:r>
              <w:rPr>
                <w:rFonts w:hint="eastAsia" w:ascii="宋体" w:hAnsi="宋体" w:cs="宋体"/>
                <w:bCs/>
                <w:color w:val="auto"/>
                <w:sz w:val="24"/>
                <w:highlight w:val="none"/>
              </w:rPr>
              <w:t>大写：</w:t>
            </w:r>
            <w:r>
              <w:rPr>
                <w:rFonts w:hint="eastAsia" w:ascii="宋体" w:hAnsi="宋体" w:cs="宋体"/>
                <w:bCs/>
                <w:color w:val="auto"/>
                <w:sz w:val="24"/>
                <w:highlight w:val="none"/>
                <w:u w:val="single"/>
              </w:rPr>
              <w:t xml:space="preserve">               </w:t>
            </w:r>
          </w:p>
          <w:p w14:paraId="044CF986">
            <w:pPr>
              <w:spacing w:line="360" w:lineRule="auto"/>
              <w:ind w:right="-670"/>
              <w:rPr>
                <w:rFonts w:hint="eastAsia" w:ascii="宋体" w:hAnsi="宋体" w:cs="宋体"/>
                <w:bCs/>
                <w:color w:val="auto"/>
                <w:sz w:val="24"/>
                <w:highlight w:val="none"/>
                <w:u w:val="single"/>
              </w:rPr>
            </w:pPr>
            <w:r>
              <w:rPr>
                <w:rFonts w:hint="eastAsia" w:ascii="宋体" w:hAnsi="宋体" w:cs="宋体"/>
                <w:bCs/>
                <w:color w:val="auto"/>
                <w:sz w:val="24"/>
                <w:highlight w:val="none"/>
              </w:rPr>
              <w:t>小写：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w:t>
            </w:r>
            <w:r>
              <w:rPr>
                <w:rFonts w:hint="eastAsia" w:ascii="宋体" w:hAnsi="宋体" w:cs="宋体"/>
                <w:bCs/>
                <w:color w:val="auto"/>
                <w:sz w:val="24"/>
                <w:highlight w:val="none"/>
                <w:u w:val="single"/>
              </w:rPr>
              <w:t xml:space="preserve">    </w:t>
            </w:r>
          </w:p>
          <w:p w14:paraId="6835DC1C">
            <w:pPr>
              <w:spacing w:line="360" w:lineRule="auto"/>
              <w:ind w:right="-670"/>
              <w:rPr>
                <w:rFonts w:hint="eastAsia" w:ascii="宋体" w:hAnsi="宋体"/>
                <w:b/>
                <w:color w:val="auto"/>
                <w:sz w:val="24"/>
                <w:highlight w:val="none"/>
              </w:rPr>
            </w:pPr>
            <w:r>
              <w:rPr>
                <w:rFonts w:hint="eastAsia" w:ascii="宋体" w:hAnsi="宋体" w:cs="Times New Roman"/>
                <w:color w:val="auto"/>
                <w:sz w:val="24"/>
                <w:szCs w:val="28"/>
                <w:highlight w:val="none"/>
                <w:lang w:val="en-US" w:eastAsia="zh-CN"/>
              </w:rPr>
              <w:t>注：费率报价</w:t>
            </w:r>
          </w:p>
        </w:tc>
      </w:tr>
      <w:tr w14:paraId="5FDC1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4" w:hRule="atLeast"/>
          <w:jc w:val="center"/>
        </w:trPr>
        <w:tc>
          <w:tcPr>
            <w:tcW w:w="2844" w:type="dxa"/>
            <w:vAlign w:val="center"/>
          </w:tcPr>
          <w:p w14:paraId="41CC1C00">
            <w:pPr>
              <w:spacing w:line="360" w:lineRule="auto"/>
              <w:jc w:val="center"/>
              <w:rPr>
                <w:rFonts w:hint="eastAsia" w:ascii="宋体" w:hAnsi="宋体"/>
                <w:b/>
                <w:color w:val="auto"/>
                <w:sz w:val="24"/>
                <w:highlight w:val="none"/>
              </w:rPr>
            </w:pPr>
            <w:r>
              <w:rPr>
                <w:rFonts w:hint="eastAsia" w:ascii="宋体" w:hAnsi="宋体"/>
                <w:b/>
                <w:color w:val="auto"/>
                <w:sz w:val="24"/>
                <w:highlight w:val="none"/>
              </w:rPr>
              <w:t>备注说明</w:t>
            </w:r>
          </w:p>
        </w:tc>
        <w:tc>
          <w:tcPr>
            <w:tcW w:w="7009" w:type="dxa"/>
          </w:tcPr>
          <w:p w14:paraId="74EF13A7">
            <w:pPr>
              <w:spacing w:line="360" w:lineRule="auto"/>
              <w:rPr>
                <w:rFonts w:hint="eastAsia" w:ascii="宋体" w:hAnsi="宋体"/>
                <w:b/>
                <w:color w:val="auto"/>
                <w:sz w:val="24"/>
                <w:highlight w:val="none"/>
              </w:rPr>
            </w:pPr>
            <w:r>
              <w:rPr>
                <w:rFonts w:hint="eastAsia" w:ascii="宋体" w:hAnsi="宋体"/>
                <w:b/>
                <w:i/>
                <w:color w:val="auto"/>
                <w:sz w:val="24"/>
                <w:highlight w:val="none"/>
              </w:rPr>
              <w:t>（此处可补充磋商小组根据与供应商磋商情况变动的磋商文件的内容，包括采购需求中的技术、服务要求以及合同草案条款。）</w:t>
            </w:r>
          </w:p>
        </w:tc>
      </w:tr>
    </w:tbl>
    <w:p w14:paraId="13C17769">
      <w:pPr>
        <w:pStyle w:val="76"/>
        <w:rPr>
          <w:color w:val="auto"/>
          <w:highlight w:val="none"/>
        </w:rPr>
      </w:pPr>
    </w:p>
    <w:p w14:paraId="7B35D7D4">
      <w:pPr>
        <w:adjustRightInd w:val="0"/>
        <w:snapToGrid w:val="0"/>
        <w:spacing w:line="360" w:lineRule="auto"/>
        <w:rPr>
          <w:rFonts w:ascii="宋体"/>
          <w:color w:val="auto"/>
          <w:szCs w:val="21"/>
          <w:highlight w:val="none"/>
        </w:rPr>
      </w:pPr>
      <w:r>
        <w:rPr>
          <w:rFonts w:hint="eastAsia" w:ascii="宋体" w:hAnsi="宋体"/>
          <w:color w:val="auto"/>
          <w:szCs w:val="21"/>
          <w:highlight w:val="none"/>
        </w:rPr>
        <w:t>供应商名称（公章）：</w:t>
      </w:r>
    </w:p>
    <w:p w14:paraId="0CB9AD76">
      <w:pPr>
        <w:adjustRightInd w:val="0"/>
        <w:snapToGrid w:val="0"/>
        <w:spacing w:line="360" w:lineRule="auto"/>
        <w:rPr>
          <w:rFonts w:ascii="宋体"/>
          <w:color w:val="auto"/>
          <w:szCs w:val="21"/>
          <w:highlight w:val="none"/>
        </w:rPr>
      </w:pPr>
    </w:p>
    <w:p w14:paraId="6A7E878C">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法定代表人或其授权代表</w:t>
      </w:r>
      <w:r>
        <w:rPr>
          <w:rFonts w:ascii="宋体" w:hAnsi="宋体"/>
          <w:color w:val="auto"/>
          <w:szCs w:val="21"/>
          <w:highlight w:val="none"/>
        </w:rPr>
        <w:t>(</w:t>
      </w:r>
      <w:r>
        <w:rPr>
          <w:rFonts w:hint="eastAsia" w:ascii="宋体" w:hAnsi="宋体"/>
          <w:color w:val="auto"/>
          <w:szCs w:val="21"/>
          <w:highlight w:val="none"/>
        </w:rPr>
        <w:t>签字或盖章</w:t>
      </w:r>
      <w:r>
        <w:rPr>
          <w:rFonts w:ascii="宋体" w:hAnsi="宋体"/>
          <w:color w:val="auto"/>
          <w:szCs w:val="21"/>
          <w:highlight w:val="none"/>
        </w:rPr>
        <w:t>)</w:t>
      </w:r>
      <w:r>
        <w:rPr>
          <w:rFonts w:hint="eastAsia" w:ascii="宋体" w:hAnsi="宋体"/>
          <w:color w:val="auto"/>
          <w:szCs w:val="21"/>
          <w:highlight w:val="none"/>
        </w:rPr>
        <w:t>：</w:t>
      </w:r>
      <w:r>
        <w:rPr>
          <w:rFonts w:ascii="宋体" w:hAnsi="宋体"/>
          <w:color w:val="auto"/>
          <w:szCs w:val="21"/>
          <w:highlight w:val="none"/>
        </w:rPr>
        <w:t xml:space="preserve">  </w:t>
      </w:r>
    </w:p>
    <w:p w14:paraId="66740EFA">
      <w:pPr>
        <w:adjustRightInd w:val="0"/>
        <w:snapToGrid w:val="0"/>
        <w:spacing w:line="360" w:lineRule="auto"/>
        <w:rPr>
          <w:rFonts w:hint="eastAsia"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年</w:t>
      </w:r>
      <w:r>
        <w:rPr>
          <w:rFonts w:ascii="宋体" w:hAnsi="宋体"/>
          <w:color w:val="auto"/>
          <w:szCs w:val="21"/>
          <w:highlight w:val="none"/>
        </w:rPr>
        <w:t xml:space="preserve">   </w:t>
      </w:r>
      <w:r>
        <w:rPr>
          <w:rFonts w:hint="eastAsia" w:ascii="宋体" w:hAnsi="宋体"/>
          <w:color w:val="auto"/>
          <w:szCs w:val="21"/>
          <w:highlight w:val="none"/>
        </w:rPr>
        <w:t>月</w:t>
      </w:r>
      <w:r>
        <w:rPr>
          <w:rFonts w:ascii="宋体" w:hAnsi="宋体"/>
          <w:color w:val="auto"/>
          <w:szCs w:val="21"/>
          <w:highlight w:val="none"/>
        </w:rPr>
        <w:t xml:space="preserve">   </w:t>
      </w:r>
      <w:r>
        <w:rPr>
          <w:rFonts w:hint="eastAsia" w:ascii="宋体" w:hAnsi="宋体"/>
          <w:color w:val="auto"/>
          <w:szCs w:val="21"/>
          <w:highlight w:val="none"/>
        </w:rPr>
        <w:t>日</w:t>
      </w:r>
      <w:r>
        <w:rPr>
          <w:rFonts w:ascii="宋体" w:hAnsi="宋体"/>
          <w:color w:val="auto"/>
          <w:szCs w:val="21"/>
          <w:highlight w:val="none"/>
        </w:rPr>
        <w:t xml:space="preserve"> </w:t>
      </w:r>
    </w:p>
    <w:p w14:paraId="485C2020">
      <w:pPr>
        <w:spacing w:line="440" w:lineRule="exact"/>
        <w:rPr>
          <w:rFonts w:hint="eastAsia" w:ascii="宋体" w:hAnsi="宋体"/>
          <w:b/>
          <w:bCs/>
          <w:color w:val="auto"/>
          <w:szCs w:val="21"/>
          <w:highlight w:val="none"/>
        </w:rPr>
      </w:pPr>
      <w:r>
        <w:rPr>
          <w:rFonts w:hint="eastAsia" w:ascii="宋体" w:hAnsi="宋体"/>
          <w:b/>
          <w:color w:val="auto"/>
          <w:sz w:val="24"/>
          <w:highlight w:val="none"/>
        </w:rPr>
        <w:t>备注：</w:t>
      </w:r>
      <w:r>
        <w:rPr>
          <w:rFonts w:hint="eastAsia" w:ascii="宋体" w:hAnsi="宋体"/>
          <w:b/>
          <w:bCs/>
          <w:color w:val="auto"/>
          <w:szCs w:val="21"/>
          <w:highlight w:val="none"/>
        </w:rPr>
        <w:t>1、供应商自行准备加盖公章的空白报价书若干份，磋商时备用。</w:t>
      </w:r>
    </w:p>
    <w:p w14:paraId="776CFB1F">
      <w:pPr>
        <w:spacing w:line="440" w:lineRule="exact"/>
        <w:ind w:firstLine="688" w:firstLineChars="328"/>
        <w:rPr>
          <w:rFonts w:hint="eastAsia" w:ascii="宋体" w:hAnsi="宋体"/>
          <w:color w:val="auto"/>
          <w:szCs w:val="21"/>
          <w:highlight w:val="none"/>
        </w:rPr>
      </w:pPr>
      <w:r>
        <w:rPr>
          <w:rFonts w:hint="eastAsia" w:ascii="宋体" w:hAnsi="宋体"/>
          <w:color w:val="auto"/>
          <w:szCs w:val="21"/>
          <w:highlight w:val="none"/>
        </w:rPr>
        <w:t>2、本表格</w:t>
      </w:r>
      <w:r>
        <w:rPr>
          <w:rFonts w:hint="eastAsia" w:ascii="宋体" w:hAnsi="宋体"/>
          <w:b/>
          <w:bCs/>
          <w:color w:val="auto"/>
          <w:szCs w:val="21"/>
          <w:highlight w:val="none"/>
        </w:rPr>
        <w:t>不须与响应文件一起装订</w:t>
      </w:r>
      <w:r>
        <w:rPr>
          <w:rFonts w:hint="eastAsia" w:ascii="宋体" w:hAnsi="宋体"/>
          <w:color w:val="auto"/>
          <w:szCs w:val="21"/>
          <w:highlight w:val="none"/>
        </w:rPr>
        <w:t>。</w:t>
      </w:r>
    </w:p>
    <w:p w14:paraId="368642E7">
      <w:pPr>
        <w:spacing w:line="440" w:lineRule="exact"/>
        <w:rPr>
          <w:rFonts w:hint="eastAsia" w:ascii="宋体" w:hAnsi="宋体"/>
          <w:color w:val="auto"/>
          <w:szCs w:val="21"/>
          <w:highlight w:val="none"/>
        </w:rPr>
      </w:pPr>
      <w:r>
        <w:rPr>
          <w:rFonts w:hint="eastAsia" w:ascii="宋体" w:hAnsi="宋体"/>
          <w:color w:val="auto"/>
          <w:szCs w:val="21"/>
          <w:highlight w:val="none"/>
        </w:rPr>
        <w:t xml:space="preserve">      3、最后报价确定后，报价明细将按最后报价与首次报价的比例做同比例调整，并作为签订合同时的依据。</w:t>
      </w:r>
    </w:p>
    <w:p w14:paraId="4290539E">
      <w:pPr>
        <w:adjustRightInd w:val="0"/>
        <w:snapToGrid w:val="0"/>
        <w:spacing w:line="360" w:lineRule="auto"/>
        <w:rPr>
          <w:rFonts w:hint="eastAsia" w:ascii="宋体" w:hAnsi="宋体"/>
          <w:color w:val="auto"/>
          <w:szCs w:val="21"/>
          <w:highlight w:val="none"/>
        </w:rPr>
      </w:pPr>
    </w:p>
    <w:p w14:paraId="753085FC">
      <w:pPr>
        <w:spacing w:line="360" w:lineRule="auto"/>
        <w:jc w:val="center"/>
        <w:outlineLvl w:val="1"/>
        <w:rPr>
          <w:rFonts w:hint="eastAsia" w:ascii="宋体" w:hAnsi="宋体"/>
          <w:b/>
          <w:color w:val="auto"/>
          <w:sz w:val="24"/>
          <w:highlight w:val="none"/>
        </w:rPr>
      </w:pPr>
      <w:bookmarkStart w:id="198" w:name="_Toc11500"/>
      <w:bookmarkStart w:id="199" w:name="_Toc520983591"/>
      <w:bookmarkStart w:id="200" w:name="_Toc32385"/>
      <w:r>
        <w:rPr>
          <w:rFonts w:hint="eastAsia" w:ascii="宋体" w:hAnsi="宋体"/>
          <w:b/>
          <w:color w:val="auto"/>
          <w:sz w:val="24"/>
          <w:highlight w:val="none"/>
        </w:rPr>
        <w:br w:type="page"/>
      </w:r>
      <w:r>
        <w:rPr>
          <w:rFonts w:hint="eastAsia" w:ascii="宋体" w:hAnsi="宋体"/>
          <w:b/>
          <w:color w:val="auto"/>
          <w:sz w:val="24"/>
          <w:highlight w:val="none"/>
        </w:rPr>
        <w:t>三、磋商响应函</w:t>
      </w:r>
      <w:bookmarkEnd w:id="198"/>
      <w:bookmarkEnd w:id="199"/>
      <w:bookmarkEnd w:id="200"/>
    </w:p>
    <w:p w14:paraId="5558769D">
      <w:pPr>
        <w:pStyle w:val="45"/>
        <w:spacing w:line="360" w:lineRule="auto"/>
        <w:ind w:left="0" w:leftChars="0"/>
        <w:rPr>
          <w:rFonts w:hint="eastAsia" w:ascii="宋体" w:hAnsi="宋体"/>
          <w:color w:val="auto"/>
          <w:sz w:val="24"/>
          <w:highlight w:val="none"/>
        </w:rPr>
      </w:pPr>
      <w:r>
        <w:rPr>
          <w:rFonts w:hint="eastAsia" w:ascii="宋体" w:hAnsi="宋体"/>
          <w:color w:val="auto"/>
          <w:sz w:val="24"/>
          <w:highlight w:val="none"/>
        </w:rPr>
        <w:t>致：采购人</w:t>
      </w:r>
    </w:p>
    <w:p w14:paraId="444E6335">
      <w:pPr>
        <w:spacing w:line="360" w:lineRule="auto"/>
        <w:ind w:firstLine="480" w:firstLineChars="200"/>
        <w:rPr>
          <w:rFonts w:hint="eastAsia" w:ascii="宋体" w:hAnsi="宋体"/>
          <w:dstrike/>
          <w:color w:val="auto"/>
          <w:sz w:val="24"/>
          <w:highlight w:val="none"/>
        </w:rPr>
      </w:pPr>
      <w:r>
        <w:rPr>
          <w:rFonts w:hint="eastAsia" w:ascii="宋体" w:hAnsi="宋体"/>
          <w:color w:val="auto"/>
          <w:sz w:val="24"/>
          <w:highlight w:val="none"/>
        </w:rPr>
        <w:t>根据贵方的</w:t>
      </w:r>
      <w:bookmarkStart w:id="201" w:name="_Hlk44287543"/>
      <w:r>
        <w:rPr>
          <w:rFonts w:hint="eastAsia" w:ascii="宋体" w:hAnsi="宋体"/>
          <w:color w:val="auto"/>
          <w:sz w:val="24"/>
          <w:highlight w:val="none"/>
        </w:rPr>
        <w:t>竞争性磋商公告和磋商邀请</w:t>
      </w:r>
      <w:bookmarkEnd w:id="201"/>
      <w:r>
        <w:rPr>
          <w:rFonts w:hint="eastAsia" w:ascii="宋体" w:hAnsi="宋体"/>
          <w:color w:val="auto"/>
          <w:sz w:val="24"/>
          <w:highlight w:val="none"/>
        </w:rPr>
        <w:t>，我方兹宣布同意如下：</w:t>
      </w:r>
    </w:p>
    <w:p w14:paraId="3CDDEFDB">
      <w:pPr>
        <w:spacing w:line="360" w:lineRule="auto"/>
        <w:ind w:firstLine="435"/>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s="宋体"/>
          <w:color w:val="auto"/>
          <w:sz w:val="24"/>
          <w:highlight w:val="none"/>
        </w:rPr>
        <w:t>我方根据磋商文件的规定，严格履行合同的责任和义务,并保证于买方要求的日期内完成，并通过买方验收。</w:t>
      </w:r>
    </w:p>
    <w:p w14:paraId="39199A1A">
      <w:pPr>
        <w:spacing w:line="360" w:lineRule="auto"/>
        <w:ind w:firstLine="435"/>
        <w:rPr>
          <w:rFonts w:hint="eastAsia" w:ascii="宋体" w:hAnsi="宋体"/>
          <w:color w:val="auto"/>
          <w:sz w:val="24"/>
          <w:highlight w:val="none"/>
        </w:rPr>
      </w:pPr>
      <w:r>
        <w:rPr>
          <w:rFonts w:hint="eastAsia" w:ascii="宋体" w:hAnsi="宋体"/>
          <w:color w:val="auto"/>
          <w:sz w:val="24"/>
          <w:highlight w:val="none"/>
        </w:rPr>
        <w:t>2.我方已详细审核全部磋商文件，包括磋商文件附件及更正公告（如有），我方正式认可并遵守本次磋商文件，并对磋商文件各项条款、规定及要求均无异议。</w:t>
      </w:r>
    </w:p>
    <w:p w14:paraId="5CEA736A">
      <w:pPr>
        <w:spacing w:line="360" w:lineRule="auto"/>
        <w:ind w:firstLine="435"/>
        <w:rPr>
          <w:rFonts w:hint="eastAsia" w:ascii="宋体" w:hAnsi="宋体"/>
          <w:color w:val="auto"/>
          <w:sz w:val="24"/>
          <w:highlight w:val="none"/>
        </w:rPr>
      </w:pPr>
      <w:r>
        <w:rPr>
          <w:rFonts w:hint="eastAsia" w:ascii="宋体" w:hAnsi="宋体"/>
          <w:color w:val="auto"/>
          <w:sz w:val="24"/>
          <w:highlight w:val="none"/>
        </w:rPr>
        <w:t>3.我方同意从磋商文件规定的磋商日期起遵循本磋商文件，并在磋商文件规定的磋商有效期之前均具有约束力。</w:t>
      </w:r>
    </w:p>
    <w:p w14:paraId="60549561">
      <w:pPr>
        <w:spacing w:line="360" w:lineRule="auto"/>
        <w:ind w:firstLine="435"/>
        <w:rPr>
          <w:rFonts w:hint="eastAsia" w:ascii="宋体" w:hAnsi="宋体"/>
          <w:color w:val="auto"/>
          <w:sz w:val="24"/>
          <w:highlight w:val="none"/>
        </w:rPr>
      </w:pPr>
      <w:r>
        <w:rPr>
          <w:rFonts w:hint="eastAsia" w:ascii="宋体" w:hAnsi="宋体"/>
          <w:color w:val="auto"/>
          <w:sz w:val="24"/>
          <w:highlight w:val="none"/>
        </w:rPr>
        <w:t>4.我方声明响应文件所提供的一切资料均真实无误、及时、有效，企业运营正常。由于我方提供资料不实而造成的责任和后果由我方承担。我方同意按照贵方提出的要求，提供与磋商有关的任何证据、数据或资料。</w:t>
      </w:r>
    </w:p>
    <w:p w14:paraId="7C3788F9">
      <w:pPr>
        <w:spacing w:line="360" w:lineRule="auto"/>
        <w:ind w:firstLine="435"/>
        <w:rPr>
          <w:rFonts w:hint="eastAsia" w:ascii="宋体" w:hAnsi="宋体"/>
          <w:color w:val="auto"/>
          <w:sz w:val="24"/>
          <w:highlight w:val="none"/>
        </w:rPr>
      </w:pPr>
    </w:p>
    <w:p w14:paraId="30C92733">
      <w:pPr>
        <w:spacing w:line="360" w:lineRule="auto"/>
        <w:ind w:firstLine="435"/>
        <w:rPr>
          <w:rFonts w:hint="eastAsia" w:ascii="宋体" w:hAnsi="宋体"/>
          <w:color w:val="auto"/>
          <w:sz w:val="24"/>
          <w:highlight w:val="none"/>
        </w:rPr>
      </w:pPr>
    </w:p>
    <w:p w14:paraId="0C2F4170">
      <w:pPr>
        <w:spacing w:line="360" w:lineRule="auto"/>
        <w:ind w:firstLine="435"/>
        <w:rPr>
          <w:rFonts w:hint="eastAsia" w:ascii="宋体" w:hAnsi="宋体"/>
          <w:color w:val="auto"/>
          <w:sz w:val="24"/>
          <w:highlight w:val="none"/>
        </w:rPr>
      </w:pPr>
      <w:r>
        <w:rPr>
          <w:rFonts w:hint="eastAsia" w:ascii="宋体" w:hAnsi="宋体"/>
          <w:color w:val="auto"/>
          <w:sz w:val="24"/>
          <w:highlight w:val="none"/>
        </w:rPr>
        <w:t>供应商名称（公章）：</w:t>
      </w:r>
    </w:p>
    <w:p w14:paraId="73690B24">
      <w:pPr>
        <w:spacing w:line="360" w:lineRule="auto"/>
        <w:ind w:firstLine="435"/>
        <w:rPr>
          <w:rFonts w:hint="eastAsia" w:ascii="宋体" w:hAnsi="宋体"/>
          <w:color w:val="auto"/>
          <w:sz w:val="24"/>
          <w:highlight w:val="none"/>
        </w:rPr>
      </w:pPr>
    </w:p>
    <w:p w14:paraId="77833122">
      <w:pPr>
        <w:spacing w:line="360" w:lineRule="auto"/>
        <w:ind w:firstLine="435"/>
        <w:rPr>
          <w:rFonts w:hint="eastAsia" w:ascii="宋体" w:hAnsi="宋体"/>
          <w:color w:val="auto"/>
          <w:sz w:val="24"/>
          <w:highlight w:val="none"/>
        </w:rPr>
      </w:pPr>
      <w:r>
        <w:rPr>
          <w:rFonts w:hint="eastAsia" w:ascii="宋体" w:hAnsi="宋体"/>
          <w:color w:val="auto"/>
          <w:sz w:val="24"/>
          <w:highlight w:val="none"/>
        </w:rPr>
        <w:t xml:space="preserve">法定代表人或其授权代表(签字或盖章)：  </w:t>
      </w:r>
    </w:p>
    <w:p w14:paraId="2D5B8644">
      <w:pPr>
        <w:spacing w:line="360" w:lineRule="auto"/>
        <w:ind w:firstLine="435"/>
        <w:rPr>
          <w:rFonts w:hint="eastAsia" w:ascii="宋体" w:hAnsi="宋体"/>
          <w:color w:val="auto"/>
          <w:sz w:val="24"/>
          <w:highlight w:val="none"/>
        </w:rPr>
      </w:pPr>
      <w:r>
        <w:rPr>
          <w:rFonts w:hint="eastAsia" w:ascii="宋体" w:hAnsi="宋体"/>
          <w:color w:val="auto"/>
          <w:sz w:val="24"/>
          <w:highlight w:val="none"/>
        </w:rPr>
        <w:t xml:space="preserve">         年   月   日 </w:t>
      </w:r>
    </w:p>
    <w:p w14:paraId="4D482F3D">
      <w:pPr>
        <w:spacing w:line="360" w:lineRule="auto"/>
        <w:jc w:val="center"/>
        <w:outlineLvl w:val="1"/>
        <w:rPr>
          <w:rFonts w:hint="eastAsia" w:ascii="宋体" w:hAnsi="宋体"/>
          <w:b/>
          <w:color w:val="auto"/>
          <w:sz w:val="24"/>
          <w:highlight w:val="none"/>
        </w:rPr>
      </w:pPr>
      <w:r>
        <w:rPr>
          <w:rFonts w:hint="eastAsia" w:ascii="宋体" w:hAnsi="宋体"/>
          <w:color w:val="auto"/>
          <w:sz w:val="24"/>
          <w:highlight w:val="none"/>
        </w:rPr>
        <w:br w:type="page"/>
      </w:r>
      <w:bookmarkStart w:id="202" w:name="_Toc21328"/>
      <w:r>
        <w:rPr>
          <w:rFonts w:hint="eastAsia" w:ascii="宋体" w:hAnsi="宋体"/>
          <w:b/>
          <w:color w:val="auto"/>
          <w:sz w:val="24"/>
          <w:highlight w:val="none"/>
        </w:rPr>
        <w:t>四、供应商资格声明书</w:t>
      </w:r>
      <w:bookmarkEnd w:id="202"/>
    </w:p>
    <w:p w14:paraId="77525B20">
      <w:pPr>
        <w:pStyle w:val="45"/>
        <w:spacing w:line="360" w:lineRule="auto"/>
        <w:ind w:left="0" w:leftChars="0"/>
        <w:rPr>
          <w:rFonts w:hint="eastAsia" w:ascii="宋体" w:hAnsi="宋体" w:cs="宋体"/>
          <w:color w:val="auto"/>
          <w:sz w:val="24"/>
          <w:highlight w:val="none"/>
        </w:rPr>
      </w:pPr>
      <w:r>
        <w:rPr>
          <w:rFonts w:hint="eastAsia" w:ascii="宋体" w:hAnsi="宋体"/>
          <w:color w:val="auto"/>
          <w:sz w:val="24"/>
          <w:highlight w:val="none"/>
        </w:rPr>
        <w:t>致：采购人</w:t>
      </w:r>
    </w:p>
    <w:p w14:paraId="6FE8FD55">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kern w:val="0"/>
          <w:sz w:val="24"/>
          <w:highlight w:val="none"/>
        </w:rPr>
        <w:t>在参与本次项目磋商中，我单位承诺：</w:t>
      </w:r>
    </w:p>
    <w:p w14:paraId="4C9DE0A3">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kern w:val="0"/>
          <w:sz w:val="24"/>
          <w:highlight w:val="none"/>
        </w:rPr>
        <w:t>（一）具有良好的商业信誉和健全的财务会计制度；</w:t>
      </w:r>
    </w:p>
    <w:p w14:paraId="325FA11C">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kern w:val="0"/>
          <w:sz w:val="24"/>
          <w:highlight w:val="none"/>
        </w:rPr>
        <w:t>（二）具有履行合同所必需的设备和专业技术能力；</w:t>
      </w:r>
    </w:p>
    <w:p w14:paraId="61F33931">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kern w:val="0"/>
          <w:sz w:val="24"/>
          <w:highlight w:val="none"/>
        </w:rPr>
        <w:t>（三）有依法缴纳税收和社会保障资金的良好记录；</w:t>
      </w:r>
    </w:p>
    <w:p w14:paraId="2D204DCA">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kern w:val="0"/>
          <w:sz w:val="24"/>
          <w:highlight w:val="none"/>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B9E8928">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kern w:val="0"/>
          <w:sz w:val="24"/>
          <w:highlight w:val="none"/>
        </w:rPr>
        <w:t>（五）我单位不存在为采购项目提供整体设计、规范编制或者项目管理、监理、检测等服务后，再参加该采购项目的其他采购活动的情形（单一来源采购项目除外）；</w:t>
      </w:r>
    </w:p>
    <w:p w14:paraId="32144BE9">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（六）与我单位存在单位负责人为同一人或者存在直接控股、管理关系的其他法人单位信息如下（如有，不论其是否参加同一合同项下的政府采购活动均须填写）：</w:t>
      </w:r>
    </w:p>
    <w:tbl>
      <w:tblPr>
        <w:tblStyle w:val="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2"/>
        <w:gridCol w:w="4194"/>
        <w:gridCol w:w="2512"/>
      </w:tblGrid>
      <w:tr w14:paraId="69AB1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2" w:type="dxa"/>
          </w:tcPr>
          <w:p w14:paraId="1BDF2F6A">
            <w:pPr>
              <w:widowControl/>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序号</w:t>
            </w:r>
          </w:p>
        </w:tc>
        <w:tc>
          <w:tcPr>
            <w:tcW w:w="4194" w:type="dxa"/>
          </w:tcPr>
          <w:p w14:paraId="3A33D555">
            <w:pPr>
              <w:pStyle w:val="2"/>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单位名称</w:t>
            </w:r>
          </w:p>
        </w:tc>
        <w:tc>
          <w:tcPr>
            <w:tcW w:w="2512" w:type="dxa"/>
          </w:tcPr>
          <w:p w14:paraId="4A53EB84">
            <w:pPr>
              <w:pStyle w:val="2"/>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相互关系</w:t>
            </w:r>
          </w:p>
        </w:tc>
      </w:tr>
      <w:tr w14:paraId="76AC5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2" w:type="dxa"/>
          </w:tcPr>
          <w:p w14:paraId="4B6D405E">
            <w:pPr>
              <w:pStyle w:val="2"/>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4194" w:type="dxa"/>
          </w:tcPr>
          <w:p w14:paraId="59B38EC4">
            <w:pPr>
              <w:pStyle w:val="2"/>
              <w:jc w:val="center"/>
              <w:rPr>
                <w:rFonts w:hint="eastAsia" w:ascii="宋体" w:hAnsi="宋体" w:eastAsia="宋体" w:cs="宋体"/>
                <w:color w:val="auto"/>
                <w:kern w:val="0"/>
                <w:sz w:val="24"/>
                <w:szCs w:val="24"/>
                <w:highlight w:val="none"/>
              </w:rPr>
            </w:pPr>
          </w:p>
        </w:tc>
        <w:tc>
          <w:tcPr>
            <w:tcW w:w="2512" w:type="dxa"/>
          </w:tcPr>
          <w:p w14:paraId="22A605FC">
            <w:pPr>
              <w:pStyle w:val="2"/>
              <w:jc w:val="center"/>
              <w:rPr>
                <w:rFonts w:hint="eastAsia" w:ascii="宋体" w:hAnsi="宋体" w:eastAsia="宋体" w:cs="宋体"/>
                <w:color w:val="auto"/>
                <w:kern w:val="0"/>
                <w:sz w:val="24"/>
                <w:szCs w:val="24"/>
                <w:highlight w:val="none"/>
              </w:rPr>
            </w:pPr>
          </w:p>
        </w:tc>
      </w:tr>
      <w:tr w14:paraId="09FA9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2" w:type="dxa"/>
          </w:tcPr>
          <w:p w14:paraId="35F8636D">
            <w:pPr>
              <w:pStyle w:val="2"/>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4194" w:type="dxa"/>
          </w:tcPr>
          <w:p w14:paraId="275C90BD">
            <w:pPr>
              <w:pStyle w:val="2"/>
              <w:jc w:val="center"/>
              <w:rPr>
                <w:rFonts w:hint="eastAsia" w:ascii="宋体" w:hAnsi="宋体" w:eastAsia="宋体" w:cs="宋体"/>
                <w:color w:val="auto"/>
                <w:kern w:val="0"/>
                <w:sz w:val="24"/>
                <w:szCs w:val="24"/>
                <w:highlight w:val="none"/>
              </w:rPr>
            </w:pPr>
          </w:p>
        </w:tc>
        <w:tc>
          <w:tcPr>
            <w:tcW w:w="2512" w:type="dxa"/>
          </w:tcPr>
          <w:p w14:paraId="32771070">
            <w:pPr>
              <w:pStyle w:val="2"/>
              <w:jc w:val="center"/>
              <w:rPr>
                <w:rFonts w:hint="eastAsia" w:ascii="宋体" w:hAnsi="宋体" w:eastAsia="宋体" w:cs="宋体"/>
                <w:color w:val="auto"/>
                <w:kern w:val="0"/>
                <w:sz w:val="24"/>
                <w:szCs w:val="24"/>
                <w:highlight w:val="none"/>
              </w:rPr>
            </w:pPr>
          </w:p>
        </w:tc>
      </w:tr>
    </w:tbl>
    <w:p w14:paraId="7F30986C">
      <w:pPr>
        <w:spacing w:line="360" w:lineRule="auto"/>
        <w:ind w:firstLine="435"/>
        <w:rPr>
          <w:rFonts w:hint="eastAsia"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0A2E57FA">
      <w:pPr>
        <w:spacing w:line="360" w:lineRule="auto"/>
        <w:jc w:val="center"/>
        <w:outlineLvl w:val="1"/>
        <w:rPr>
          <w:rFonts w:hint="eastAsia" w:ascii="宋体" w:hAnsi="宋体"/>
          <w:b/>
          <w:color w:val="auto"/>
          <w:sz w:val="24"/>
          <w:highlight w:val="none"/>
        </w:rPr>
      </w:pPr>
      <w:r>
        <w:rPr>
          <w:rFonts w:hint="eastAsia" w:ascii="宋体" w:hAnsi="宋体"/>
          <w:color w:val="auto"/>
          <w:sz w:val="24"/>
          <w:highlight w:val="none"/>
        </w:rPr>
        <w:br w:type="page"/>
      </w:r>
      <w:bookmarkStart w:id="203" w:name="_Toc121626298"/>
      <w:bookmarkStart w:id="204" w:name="_Toc31518"/>
      <w:bookmarkStart w:id="205" w:name="_Toc26922"/>
      <w:bookmarkStart w:id="206" w:name="_Toc520983594"/>
      <w:bookmarkStart w:id="207" w:name="_Toc516969106"/>
      <w:bookmarkStart w:id="208" w:name="_Toc204594911"/>
      <w:bookmarkStart w:id="209" w:name="_Toc4286"/>
      <w:bookmarkStart w:id="210" w:name="_Toc25048"/>
      <w:r>
        <w:rPr>
          <w:rFonts w:hint="eastAsia" w:ascii="宋体" w:hAnsi="宋体"/>
          <w:b/>
          <w:color w:val="auto"/>
          <w:sz w:val="24"/>
          <w:highlight w:val="none"/>
        </w:rPr>
        <w:t>五、授权书</w:t>
      </w:r>
      <w:bookmarkEnd w:id="203"/>
      <w:bookmarkEnd w:id="204"/>
      <w:bookmarkEnd w:id="205"/>
      <w:bookmarkEnd w:id="206"/>
      <w:bookmarkEnd w:id="207"/>
      <w:bookmarkEnd w:id="208"/>
    </w:p>
    <w:p w14:paraId="6CEDE6BF">
      <w:pPr>
        <w:spacing w:line="360" w:lineRule="auto"/>
        <w:jc w:val="center"/>
        <w:rPr>
          <w:rFonts w:hint="eastAsia" w:ascii="宋体" w:hAnsi="宋体"/>
          <w:b/>
          <w:color w:val="auto"/>
          <w:sz w:val="24"/>
          <w:highlight w:val="none"/>
        </w:rPr>
      </w:pPr>
    </w:p>
    <w:p w14:paraId="0DC7327A">
      <w:pPr>
        <w:pStyle w:val="41"/>
        <w:snapToGrid w:val="0"/>
        <w:spacing w:line="360" w:lineRule="auto"/>
        <w:ind w:firstLine="480" w:firstLineChars="200"/>
        <w:jc w:val="left"/>
        <w:rPr>
          <w:rFonts w:hint="eastAsia" w:hAnsi="宋体"/>
          <w:color w:val="auto"/>
          <w:sz w:val="24"/>
          <w:szCs w:val="28"/>
          <w:highlight w:val="none"/>
        </w:rPr>
      </w:pPr>
      <w:r>
        <w:rPr>
          <w:rFonts w:hint="eastAsia" w:hAnsi="宋体"/>
          <w:color w:val="auto"/>
          <w:sz w:val="24"/>
          <w:szCs w:val="28"/>
          <w:highlight w:val="none"/>
        </w:rPr>
        <w:t>本授权书声明：</w:t>
      </w:r>
      <w:r>
        <w:rPr>
          <w:rFonts w:hint="eastAsia" w:hAnsi="宋体"/>
          <w:color w:val="auto"/>
          <w:sz w:val="24"/>
          <w:szCs w:val="28"/>
          <w:highlight w:val="none"/>
          <w:u w:val="single"/>
        </w:rPr>
        <w:t xml:space="preserve">           </w:t>
      </w:r>
      <w:r>
        <w:rPr>
          <w:rFonts w:hint="eastAsia" w:hAnsi="宋体"/>
          <w:color w:val="auto"/>
          <w:sz w:val="24"/>
          <w:szCs w:val="28"/>
          <w:highlight w:val="none"/>
        </w:rPr>
        <w:t>（供应商名称）授权</w:t>
      </w:r>
      <w:r>
        <w:rPr>
          <w:rFonts w:hint="eastAsia" w:hAnsi="宋体"/>
          <w:color w:val="auto"/>
          <w:sz w:val="24"/>
          <w:szCs w:val="28"/>
          <w:highlight w:val="none"/>
          <w:u w:val="single"/>
        </w:rPr>
        <w:t xml:space="preserve">       </w:t>
      </w:r>
      <w:r>
        <w:rPr>
          <w:rFonts w:hint="eastAsia" w:hAnsi="宋体"/>
          <w:color w:val="auto"/>
          <w:sz w:val="24"/>
          <w:szCs w:val="28"/>
          <w:highlight w:val="none"/>
        </w:rPr>
        <w:t>（供应商授权代表姓名）代表我方参加本项目</w:t>
      </w:r>
      <w:r>
        <w:rPr>
          <w:rFonts w:hint="eastAsia" w:hAnsi="宋体"/>
          <w:bCs/>
          <w:color w:val="auto"/>
          <w:sz w:val="24"/>
          <w:szCs w:val="28"/>
          <w:highlight w:val="none"/>
        </w:rPr>
        <w:t>采购活动</w:t>
      </w:r>
      <w:r>
        <w:rPr>
          <w:rFonts w:hint="eastAsia" w:hAnsi="宋体"/>
          <w:color w:val="auto"/>
          <w:sz w:val="24"/>
          <w:szCs w:val="28"/>
          <w:highlight w:val="none"/>
        </w:rPr>
        <w:t>，全权代表我方处理磋商过程的一切事宜，包括但不限于：提交响应文件、参与磋商、签约等。供应商授权代表在采购活动过程中所签署的一切文件和处理与之有关的一切事务，本公司均予以认可并对此承担责任。供应商授权代表无转委托权。特此授权。</w:t>
      </w:r>
    </w:p>
    <w:p w14:paraId="3B500872">
      <w:pPr>
        <w:pStyle w:val="41"/>
        <w:snapToGrid w:val="0"/>
        <w:spacing w:line="360" w:lineRule="auto"/>
        <w:ind w:firstLine="480" w:firstLineChars="200"/>
        <w:jc w:val="left"/>
        <w:rPr>
          <w:rFonts w:hint="eastAsia" w:hAnsi="宋体"/>
          <w:color w:val="auto"/>
          <w:sz w:val="24"/>
          <w:szCs w:val="28"/>
          <w:highlight w:val="none"/>
        </w:rPr>
      </w:pPr>
      <w:r>
        <w:rPr>
          <w:rFonts w:hint="eastAsia" w:hAnsi="宋体"/>
          <w:color w:val="auto"/>
          <w:sz w:val="24"/>
          <w:szCs w:val="28"/>
          <w:highlight w:val="none"/>
        </w:rPr>
        <w:t>本授权书自出具之日起生效。</w:t>
      </w:r>
    </w:p>
    <w:p w14:paraId="10FE2A18">
      <w:pPr>
        <w:pStyle w:val="41"/>
        <w:snapToGrid w:val="0"/>
        <w:spacing w:line="360" w:lineRule="auto"/>
        <w:ind w:firstLine="480" w:firstLineChars="200"/>
        <w:jc w:val="left"/>
        <w:rPr>
          <w:rFonts w:hint="eastAsia" w:hAnsi="宋体"/>
          <w:color w:val="auto"/>
          <w:sz w:val="24"/>
          <w:highlight w:val="none"/>
        </w:rPr>
      </w:pPr>
      <w:r>
        <w:rPr>
          <w:rFonts w:hint="eastAsia" w:hAnsi="宋体"/>
          <w:color w:val="auto"/>
          <w:sz w:val="24"/>
          <w:szCs w:val="28"/>
          <w:highlight w:val="none"/>
        </w:rPr>
        <w:t>授权代表</w:t>
      </w:r>
      <w:r>
        <w:rPr>
          <w:rFonts w:hint="eastAsia" w:hAnsi="宋体"/>
          <w:color w:val="auto"/>
          <w:sz w:val="24"/>
          <w:highlight w:val="none"/>
        </w:rPr>
        <w:t>身份证明扫描件：</w:t>
      </w:r>
    </w:p>
    <w:p w14:paraId="25B0FC59">
      <w:pPr>
        <w:spacing w:line="400" w:lineRule="atLeast"/>
        <w:ind w:firstLine="570"/>
        <w:rPr>
          <w:rFonts w:hint="eastAsia" w:ascii="宋体" w:hAnsi="宋体" w:cs="宋体"/>
          <w:color w:val="auto"/>
          <w:szCs w:val="21"/>
          <w:highlight w:val="none"/>
        </w:rPr>
      </w:pPr>
    </w:p>
    <w:p w14:paraId="35FE8573">
      <w:pPr>
        <w:spacing w:line="400" w:lineRule="atLeast"/>
        <w:ind w:firstLine="570"/>
        <w:rPr>
          <w:rFonts w:hint="eastAsia" w:ascii="宋体" w:hAnsi="宋体" w:cs="宋体"/>
          <w:color w:val="auto"/>
          <w:szCs w:val="21"/>
          <w:highlight w:val="none"/>
        </w:rPr>
      </w:pPr>
      <w:r>
        <w:rPr>
          <w:rFonts w:hint="eastAsia" w:ascii="宋体" w:hAnsi="宋体" w:cs="宋体"/>
          <w:color w:val="auto"/>
          <w:szCs w:val="21"/>
          <w:highlight w:val="none"/>
        </w:rPr>
        <w:t xml:space="preserve">           </w:t>
      </w:r>
    </w:p>
    <w:tbl>
      <w:tblPr>
        <w:tblStyle w:val="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75819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atLeast"/>
        </w:trPr>
        <w:tc>
          <w:tcPr>
            <w:tcW w:w="8528" w:type="dxa"/>
            <w:vAlign w:val="center"/>
          </w:tcPr>
          <w:p w14:paraId="01432E43">
            <w:pPr>
              <w:adjustRightInd w:val="0"/>
              <w:snapToGrid w:val="0"/>
              <w:spacing w:before="120" w:beforeLines="50" w:line="400" w:lineRule="atLeast"/>
              <w:jc w:val="center"/>
              <w:rPr>
                <w:rFonts w:hint="eastAsia" w:ascii="宋体" w:hAnsi="宋体" w:cs="宋体"/>
                <w:color w:val="auto"/>
                <w:szCs w:val="21"/>
                <w:highlight w:val="none"/>
              </w:rPr>
            </w:pPr>
            <w:r>
              <w:rPr>
                <w:rFonts w:hint="eastAsia" w:ascii="宋体" w:hAnsi="宋体" w:cs="宋体"/>
                <w:color w:val="auto"/>
                <w:szCs w:val="21"/>
                <w:highlight w:val="none"/>
              </w:rPr>
              <w:t>委托代理人身份证扫描件</w:t>
            </w:r>
          </w:p>
        </w:tc>
      </w:tr>
    </w:tbl>
    <w:p w14:paraId="10445189">
      <w:pPr>
        <w:spacing w:before="120" w:beforeLines="50" w:line="400" w:lineRule="atLeast"/>
        <w:rPr>
          <w:rFonts w:hint="eastAsia" w:ascii="宋体" w:hAnsi="宋体" w:cs="宋体"/>
          <w:color w:val="auto"/>
          <w:szCs w:val="21"/>
          <w:highlight w:val="none"/>
          <w:u w:val="single"/>
        </w:rPr>
      </w:pPr>
      <w:r>
        <w:rPr>
          <w:rFonts w:hint="eastAsia" w:ascii="宋体" w:hAnsi="宋体" w:cs="宋体"/>
          <w:color w:val="auto"/>
          <w:szCs w:val="21"/>
          <w:highlight w:val="none"/>
        </w:rPr>
        <w:t>代理人（被授权人）手机号码：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196FB78">
      <w:pPr>
        <w:spacing w:line="400" w:lineRule="atLeast"/>
        <w:rPr>
          <w:rFonts w:hint="eastAsia" w:ascii="宋体" w:hAnsi="宋体" w:cs="宋体"/>
          <w:color w:val="auto"/>
          <w:szCs w:val="21"/>
          <w:highlight w:val="none"/>
        </w:rPr>
      </w:pPr>
      <w:r>
        <w:rPr>
          <w:rFonts w:hint="eastAsia" w:ascii="宋体" w:hAnsi="宋体" w:cs="宋体"/>
          <w:color w:val="auto"/>
          <w:szCs w:val="21"/>
          <w:highlight w:val="none"/>
        </w:rPr>
        <w:t>代理人（被授权人）办公电话：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249043B6">
      <w:pPr>
        <w:adjustRightInd w:val="0"/>
        <w:snapToGrid w:val="0"/>
        <w:spacing w:line="400" w:lineRule="atLeas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附：法定代表人身份证明</w:t>
      </w:r>
    </w:p>
    <w:p w14:paraId="48E742A2">
      <w:pPr>
        <w:adjustRightInd w:val="0"/>
        <w:snapToGrid w:val="0"/>
        <w:spacing w:before="120" w:beforeLines="50" w:line="400" w:lineRule="atLeast"/>
        <w:rPr>
          <w:rFonts w:hint="eastAsia" w:ascii="宋体" w:hAnsi="宋体" w:cs="宋体"/>
          <w:color w:val="auto"/>
          <w:szCs w:val="21"/>
          <w:highlight w:val="none"/>
        </w:rPr>
      </w:pPr>
      <w:r>
        <w:rPr>
          <w:rFonts w:hint="eastAsia" w:ascii="宋体" w:hAnsi="宋体" w:cs="宋体"/>
          <w:color w:val="auto"/>
          <w:szCs w:val="21"/>
          <w:highlight w:val="none"/>
        </w:rPr>
        <w:t>供应商：</w:t>
      </w:r>
      <w:r>
        <w:rPr>
          <w:rFonts w:hint="eastAsia" w:ascii="宋体" w:hAnsi="宋体" w:cs="宋体"/>
          <w:color w:val="auto"/>
          <w:szCs w:val="21"/>
          <w:highlight w:val="none"/>
          <w:u w:val="single"/>
        </w:rPr>
        <w:t xml:space="preserve">                     （公章）</w:t>
      </w:r>
    </w:p>
    <w:p w14:paraId="4225CAEB">
      <w:pPr>
        <w:adjustRightInd w:val="0"/>
        <w:snapToGrid w:val="0"/>
        <w:spacing w:before="120" w:beforeLines="50" w:line="400" w:lineRule="atLeast"/>
        <w:ind w:right="420"/>
        <w:rPr>
          <w:rFonts w:hint="eastAsia" w:ascii="宋体" w:hAnsi="宋体" w:cs="宋体"/>
          <w:color w:val="auto"/>
          <w:szCs w:val="21"/>
          <w:highlight w:val="none"/>
        </w:rPr>
      </w:pPr>
      <w:r>
        <w:rPr>
          <w:rFonts w:hint="eastAsia" w:ascii="宋体" w:hAnsi="宋体" w:cs="宋体"/>
          <w:color w:val="auto"/>
          <w:szCs w:val="21"/>
          <w:highlight w:val="none"/>
        </w:rPr>
        <w:t>法定代表人（签字或盖章）：</w:t>
      </w:r>
      <w:r>
        <w:rPr>
          <w:rFonts w:hint="eastAsia" w:ascii="宋体" w:hAnsi="宋体" w:cs="宋体"/>
          <w:color w:val="auto"/>
          <w:szCs w:val="21"/>
          <w:highlight w:val="none"/>
          <w:u w:val="single"/>
        </w:rPr>
        <w:t xml:space="preserve">                     </w:t>
      </w:r>
    </w:p>
    <w:p w14:paraId="18BB3362">
      <w:pPr>
        <w:adjustRightInd w:val="0"/>
        <w:snapToGrid w:val="0"/>
        <w:spacing w:before="120" w:beforeLines="50" w:line="400" w:lineRule="atLeast"/>
        <w:ind w:right="420"/>
        <w:rPr>
          <w:rFonts w:hint="eastAsia" w:ascii="宋体" w:hAnsi="宋体" w:cs="宋体"/>
          <w:color w:val="auto"/>
          <w:szCs w:val="21"/>
          <w:highlight w:val="none"/>
        </w:rPr>
      </w:pPr>
      <w:r>
        <w:rPr>
          <w:rFonts w:hint="eastAsia" w:ascii="宋体" w:hAnsi="宋体" w:cs="宋体"/>
          <w:color w:val="auto"/>
          <w:szCs w:val="21"/>
          <w:highlight w:val="none"/>
        </w:rPr>
        <w:t>授权代表（签字或盖章）：</w:t>
      </w:r>
      <w:r>
        <w:rPr>
          <w:rFonts w:hint="eastAsia" w:ascii="宋体" w:hAnsi="宋体" w:cs="宋体"/>
          <w:color w:val="auto"/>
          <w:szCs w:val="21"/>
          <w:highlight w:val="none"/>
          <w:u w:val="single"/>
        </w:rPr>
        <w:t xml:space="preserve">                     </w:t>
      </w:r>
    </w:p>
    <w:p w14:paraId="677532FC">
      <w:pPr>
        <w:adjustRightInd w:val="0"/>
        <w:snapToGrid w:val="0"/>
        <w:spacing w:before="120" w:beforeLines="50" w:line="400" w:lineRule="atLeast"/>
        <w:ind w:right="420"/>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4870A9B3">
      <w:pPr>
        <w:adjustRightInd w:val="0"/>
        <w:snapToGrid w:val="0"/>
        <w:spacing w:before="120" w:beforeLines="50" w:line="400" w:lineRule="atLeast"/>
        <w:ind w:right="420" w:firstLine="3150" w:firstLineChars="1500"/>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BE87010">
      <w:pPr>
        <w:kinsoku w:val="0"/>
        <w:overflowPunct w:val="0"/>
        <w:autoSpaceDE w:val="0"/>
        <w:autoSpaceDN w:val="0"/>
        <w:spacing w:line="400" w:lineRule="atLeast"/>
        <w:rPr>
          <w:rFonts w:hint="eastAsia" w:ascii="宋体" w:hAnsi="宋体" w:cs="宋体"/>
          <w:color w:val="auto"/>
          <w:kern w:val="0"/>
          <w:szCs w:val="21"/>
          <w:highlight w:val="none"/>
        </w:rPr>
      </w:pPr>
    </w:p>
    <w:p w14:paraId="14179108">
      <w:pPr>
        <w:kinsoku w:val="0"/>
        <w:overflowPunct w:val="0"/>
        <w:autoSpaceDE w:val="0"/>
        <w:autoSpaceDN w:val="0"/>
        <w:spacing w:line="400" w:lineRule="atLeast"/>
        <w:rPr>
          <w:rFonts w:hint="eastAsia" w:ascii="宋体" w:hAnsi="宋体" w:cs="宋体"/>
          <w:color w:val="auto"/>
          <w:kern w:val="0"/>
          <w:szCs w:val="21"/>
          <w:highlight w:val="none"/>
        </w:rPr>
      </w:pPr>
    </w:p>
    <w:p w14:paraId="152F1745">
      <w:pPr>
        <w:kinsoku w:val="0"/>
        <w:overflowPunct w:val="0"/>
        <w:autoSpaceDE w:val="0"/>
        <w:autoSpaceDN w:val="0"/>
        <w:spacing w:line="400" w:lineRule="atLeast"/>
        <w:rPr>
          <w:rFonts w:hint="eastAsia" w:ascii="宋体" w:hAnsi="宋体" w:cs="宋体"/>
          <w:color w:val="auto"/>
          <w:kern w:val="0"/>
          <w:szCs w:val="21"/>
          <w:highlight w:val="none"/>
        </w:rPr>
      </w:pPr>
    </w:p>
    <w:p w14:paraId="7AA1462B">
      <w:pPr>
        <w:kinsoku w:val="0"/>
        <w:overflowPunct w:val="0"/>
        <w:autoSpaceDE w:val="0"/>
        <w:autoSpaceDN w:val="0"/>
        <w:spacing w:line="400" w:lineRule="atLeast"/>
        <w:rPr>
          <w:rFonts w:hint="eastAsia" w:ascii="宋体" w:hAnsi="宋体" w:cs="宋体"/>
          <w:color w:val="auto"/>
          <w:kern w:val="0"/>
          <w:szCs w:val="21"/>
          <w:highlight w:val="none"/>
        </w:rPr>
      </w:pPr>
    </w:p>
    <w:p w14:paraId="14040677">
      <w:pPr>
        <w:kinsoku w:val="0"/>
        <w:overflowPunct w:val="0"/>
        <w:autoSpaceDE w:val="0"/>
        <w:autoSpaceDN w:val="0"/>
        <w:spacing w:line="400" w:lineRule="atLeast"/>
        <w:rPr>
          <w:rFonts w:hint="eastAsia" w:ascii="宋体" w:hAnsi="宋体" w:cs="宋体"/>
          <w:color w:val="auto"/>
          <w:kern w:val="0"/>
          <w:szCs w:val="21"/>
          <w:highlight w:val="none"/>
        </w:rPr>
      </w:pPr>
    </w:p>
    <w:p w14:paraId="5774370F">
      <w:pPr>
        <w:kinsoku w:val="0"/>
        <w:overflowPunct w:val="0"/>
        <w:autoSpaceDE w:val="0"/>
        <w:autoSpaceDN w:val="0"/>
        <w:spacing w:line="400" w:lineRule="atLeast"/>
        <w:rPr>
          <w:rFonts w:hint="eastAsia" w:ascii="宋体" w:hAnsi="宋体" w:cs="宋体"/>
          <w:color w:val="auto"/>
          <w:kern w:val="0"/>
          <w:szCs w:val="21"/>
          <w:highlight w:val="none"/>
        </w:rPr>
      </w:pPr>
    </w:p>
    <w:p w14:paraId="4A90584D">
      <w:pPr>
        <w:rPr>
          <w:rFonts w:hint="eastAsia" w:ascii="宋体" w:hAnsi="宋体" w:cs="宋体"/>
          <w:color w:val="auto"/>
          <w:kern w:val="0"/>
          <w:szCs w:val="21"/>
          <w:highlight w:val="none"/>
        </w:rPr>
      </w:pPr>
      <w:r>
        <w:rPr>
          <w:rFonts w:hint="eastAsia" w:ascii="宋体" w:hAnsi="宋体" w:cs="宋体"/>
          <w:color w:val="auto"/>
          <w:kern w:val="0"/>
          <w:szCs w:val="21"/>
          <w:highlight w:val="none"/>
        </w:rPr>
        <w:br w:type="page"/>
      </w:r>
    </w:p>
    <w:p w14:paraId="6DA83CDF">
      <w:pPr>
        <w:kinsoku w:val="0"/>
        <w:overflowPunct w:val="0"/>
        <w:autoSpaceDE w:val="0"/>
        <w:autoSpaceDN w:val="0"/>
        <w:spacing w:line="400" w:lineRule="atLeast"/>
        <w:rPr>
          <w:rFonts w:hint="eastAsia" w:ascii="宋体" w:hAnsi="宋体" w:cs="宋体"/>
          <w:color w:val="auto"/>
          <w:kern w:val="0"/>
          <w:szCs w:val="21"/>
          <w:highlight w:val="none"/>
        </w:rPr>
      </w:pPr>
      <w:r>
        <w:rPr>
          <w:rFonts w:hint="eastAsia" w:ascii="宋体" w:hAnsi="宋体" w:cs="宋体"/>
          <w:color w:val="auto"/>
          <w:kern w:val="0"/>
          <w:szCs w:val="21"/>
          <w:highlight w:val="none"/>
        </w:rPr>
        <w:t>附件1-1      法定代表人身份证明（格式）</w:t>
      </w:r>
    </w:p>
    <w:p w14:paraId="48CE717D">
      <w:pPr>
        <w:autoSpaceDE w:val="0"/>
        <w:autoSpaceDN w:val="0"/>
        <w:adjustRightInd w:val="0"/>
        <w:snapToGrid w:val="0"/>
        <w:spacing w:line="400" w:lineRule="atLeast"/>
        <w:jc w:val="left"/>
        <w:rPr>
          <w:rFonts w:hint="eastAsia" w:ascii="宋体" w:hAnsi="宋体" w:cs="宋体"/>
          <w:color w:val="auto"/>
          <w:kern w:val="0"/>
          <w:szCs w:val="21"/>
          <w:highlight w:val="none"/>
        </w:rPr>
      </w:pPr>
      <w:r>
        <w:rPr>
          <w:rFonts w:hint="eastAsia" w:ascii="宋体" w:hAnsi="宋体" w:cs="宋体"/>
          <w:color w:val="auto"/>
          <w:szCs w:val="21"/>
          <w:highlight w:val="none"/>
        </w:rPr>
        <w:t>供应商</w:t>
      </w:r>
      <w:r>
        <w:rPr>
          <w:rFonts w:hint="eastAsia" w:ascii="宋体" w:hAnsi="宋体" w:cs="宋体"/>
          <w:color w:val="auto"/>
          <w:kern w:val="0"/>
          <w:szCs w:val="21"/>
          <w:highlight w:val="none"/>
        </w:rPr>
        <w:t>名称：</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p>
    <w:p w14:paraId="4B1F662C">
      <w:pPr>
        <w:autoSpaceDE w:val="0"/>
        <w:autoSpaceDN w:val="0"/>
        <w:adjustRightInd w:val="0"/>
        <w:snapToGrid w:val="0"/>
        <w:spacing w:line="400" w:lineRule="atLeas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注册号：</w:t>
      </w:r>
      <w:r>
        <w:rPr>
          <w:rFonts w:hint="eastAsia" w:ascii="宋体" w:hAnsi="宋体" w:cs="宋体"/>
          <w:color w:val="auto"/>
          <w:kern w:val="0"/>
          <w:szCs w:val="21"/>
          <w:highlight w:val="none"/>
          <w:u w:val="single"/>
        </w:rPr>
        <w:t xml:space="preserve">                  </w:t>
      </w:r>
    </w:p>
    <w:p w14:paraId="7B50640B">
      <w:pPr>
        <w:autoSpaceDE w:val="0"/>
        <w:autoSpaceDN w:val="0"/>
        <w:adjustRightInd w:val="0"/>
        <w:snapToGrid w:val="0"/>
        <w:spacing w:line="400" w:lineRule="atLeas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注册地址：</w:t>
      </w:r>
      <w:r>
        <w:rPr>
          <w:rFonts w:hint="eastAsia" w:ascii="宋体" w:hAnsi="宋体" w:cs="宋体"/>
          <w:color w:val="auto"/>
          <w:kern w:val="0"/>
          <w:szCs w:val="21"/>
          <w:highlight w:val="none"/>
          <w:u w:val="single"/>
        </w:rPr>
        <w:t xml:space="preserve">                                    </w:t>
      </w:r>
    </w:p>
    <w:p w14:paraId="75C1AB4A">
      <w:pPr>
        <w:autoSpaceDE w:val="0"/>
        <w:autoSpaceDN w:val="0"/>
        <w:adjustRightInd w:val="0"/>
        <w:snapToGrid w:val="0"/>
        <w:spacing w:line="400" w:lineRule="atLeas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成立时间： </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年 </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日</w:t>
      </w:r>
    </w:p>
    <w:p w14:paraId="4AF92F38">
      <w:pPr>
        <w:autoSpaceDE w:val="0"/>
        <w:autoSpaceDN w:val="0"/>
        <w:adjustRightInd w:val="0"/>
        <w:snapToGrid w:val="0"/>
        <w:spacing w:line="400" w:lineRule="atLeast"/>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rPr>
        <w:t>经营期限：</w:t>
      </w:r>
      <w:r>
        <w:rPr>
          <w:rFonts w:hint="eastAsia" w:ascii="宋体" w:hAnsi="宋体" w:cs="宋体"/>
          <w:color w:val="auto"/>
          <w:kern w:val="0"/>
          <w:szCs w:val="21"/>
          <w:highlight w:val="none"/>
          <w:u w:val="single"/>
        </w:rPr>
        <w:t xml:space="preserve">                  </w:t>
      </w:r>
    </w:p>
    <w:p w14:paraId="77478C49">
      <w:pPr>
        <w:autoSpaceDE w:val="0"/>
        <w:autoSpaceDN w:val="0"/>
        <w:adjustRightInd w:val="0"/>
        <w:snapToGrid w:val="0"/>
        <w:spacing w:line="400" w:lineRule="atLeast"/>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rPr>
        <w:t>经营范围：主营：</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；兼营：</w:t>
      </w:r>
      <w:r>
        <w:rPr>
          <w:rFonts w:hint="eastAsia" w:ascii="宋体" w:hAnsi="宋体" w:cs="宋体"/>
          <w:color w:val="auto"/>
          <w:kern w:val="0"/>
          <w:szCs w:val="21"/>
          <w:highlight w:val="none"/>
          <w:u w:val="single"/>
        </w:rPr>
        <w:t xml:space="preserve">              </w:t>
      </w:r>
    </w:p>
    <w:p w14:paraId="6FE8FA06">
      <w:pPr>
        <w:autoSpaceDE w:val="0"/>
        <w:autoSpaceDN w:val="0"/>
        <w:adjustRightInd w:val="0"/>
        <w:snapToGrid w:val="0"/>
        <w:spacing w:line="400" w:lineRule="atLeas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姓名：</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性别：</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年龄：</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职务：</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系</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r>
        <w:rPr>
          <w:rFonts w:hint="eastAsia" w:ascii="宋体" w:hAnsi="宋体" w:cs="宋体"/>
          <w:color w:val="auto"/>
          <w:szCs w:val="21"/>
          <w:highlight w:val="none"/>
        </w:rPr>
        <w:t>供应商</w:t>
      </w:r>
      <w:r>
        <w:rPr>
          <w:rFonts w:hint="eastAsia" w:ascii="宋体" w:hAnsi="宋体" w:cs="宋体"/>
          <w:color w:val="auto"/>
          <w:kern w:val="0"/>
          <w:szCs w:val="21"/>
          <w:highlight w:val="none"/>
        </w:rPr>
        <w:t>名称）的法定代表人。</w:t>
      </w:r>
    </w:p>
    <w:p w14:paraId="3990442B">
      <w:pPr>
        <w:autoSpaceDE w:val="0"/>
        <w:autoSpaceDN w:val="0"/>
        <w:adjustRightInd w:val="0"/>
        <w:snapToGrid w:val="0"/>
        <w:spacing w:line="400" w:lineRule="atLeas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特此证明。</w:t>
      </w:r>
    </w:p>
    <w:tbl>
      <w:tblPr>
        <w:tblStyle w:val="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39C00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atLeast"/>
        </w:trPr>
        <w:tc>
          <w:tcPr>
            <w:tcW w:w="8528" w:type="dxa"/>
            <w:vAlign w:val="center"/>
          </w:tcPr>
          <w:p w14:paraId="5CF60E8B">
            <w:pPr>
              <w:adjustRightInd w:val="0"/>
              <w:snapToGrid w:val="0"/>
              <w:spacing w:before="120" w:beforeLines="50" w:line="400" w:lineRule="atLeast"/>
              <w:jc w:val="center"/>
              <w:rPr>
                <w:rFonts w:hint="eastAsia" w:ascii="宋体" w:hAnsi="宋体" w:cs="宋体"/>
                <w:color w:val="auto"/>
                <w:szCs w:val="21"/>
                <w:highlight w:val="none"/>
              </w:rPr>
            </w:pPr>
            <w:r>
              <w:rPr>
                <w:rFonts w:hint="eastAsia" w:ascii="宋体" w:hAnsi="宋体" w:cs="宋体"/>
                <w:color w:val="auto"/>
                <w:szCs w:val="21"/>
                <w:highlight w:val="none"/>
              </w:rPr>
              <w:t>法定代表人身份证扫描件</w:t>
            </w:r>
          </w:p>
        </w:tc>
      </w:tr>
    </w:tbl>
    <w:p w14:paraId="1DFC4E76">
      <w:pPr>
        <w:adjustRightInd w:val="0"/>
        <w:snapToGrid w:val="0"/>
        <w:spacing w:before="120" w:beforeLines="50" w:line="400" w:lineRule="atLeast"/>
        <w:rPr>
          <w:rFonts w:hint="eastAsia" w:ascii="宋体" w:hAnsi="宋体" w:cs="宋体"/>
          <w:color w:val="auto"/>
          <w:szCs w:val="21"/>
          <w:highlight w:val="none"/>
        </w:rPr>
      </w:pPr>
      <w:r>
        <w:rPr>
          <w:rFonts w:hint="eastAsia" w:ascii="宋体" w:hAnsi="宋体" w:cs="宋体"/>
          <w:color w:val="auto"/>
          <w:szCs w:val="21"/>
          <w:highlight w:val="none"/>
        </w:rPr>
        <w:t>法定代表人手机号码：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0C80CE8">
      <w:pPr>
        <w:adjustRightInd w:val="0"/>
        <w:snapToGrid w:val="0"/>
        <w:spacing w:before="120" w:beforeLines="50" w:line="400" w:lineRule="atLeast"/>
        <w:rPr>
          <w:rFonts w:hint="eastAsia" w:ascii="宋体" w:hAnsi="宋体" w:cs="宋体"/>
          <w:color w:val="auto"/>
          <w:szCs w:val="21"/>
          <w:highlight w:val="none"/>
        </w:rPr>
      </w:pPr>
      <w:r>
        <w:rPr>
          <w:rFonts w:hint="eastAsia" w:ascii="宋体" w:hAnsi="宋体" w:cs="宋体"/>
          <w:color w:val="auto"/>
          <w:szCs w:val="21"/>
          <w:highlight w:val="none"/>
        </w:rPr>
        <w:t>法定代表人办公电话：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237647CA">
      <w:pPr>
        <w:adjustRightInd w:val="0"/>
        <w:snapToGrid w:val="0"/>
        <w:spacing w:before="120" w:beforeLines="50" w:line="400" w:lineRule="atLeast"/>
        <w:rPr>
          <w:rFonts w:hint="eastAsia" w:ascii="宋体" w:hAnsi="宋体" w:cs="宋体"/>
          <w:color w:val="auto"/>
          <w:szCs w:val="21"/>
          <w:highlight w:val="none"/>
        </w:rPr>
      </w:pPr>
      <w:r>
        <w:rPr>
          <w:rFonts w:hint="eastAsia" w:ascii="宋体" w:hAnsi="宋体" w:cs="宋体"/>
          <w:color w:val="auto"/>
          <w:szCs w:val="21"/>
          <w:highlight w:val="none"/>
        </w:rPr>
        <w:t>供应商：</w:t>
      </w:r>
      <w:r>
        <w:rPr>
          <w:rFonts w:hint="eastAsia" w:ascii="宋体" w:hAnsi="宋体" w:cs="宋体"/>
          <w:color w:val="auto"/>
          <w:szCs w:val="21"/>
          <w:highlight w:val="none"/>
          <w:u w:val="single"/>
        </w:rPr>
        <w:t xml:space="preserve">                 （公章）</w:t>
      </w:r>
    </w:p>
    <w:p w14:paraId="1BC1A036">
      <w:pPr>
        <w:adjustRightInd w:val="0"/>
        <w:snapToGrid w:val="0"/>
        <w:spacing w:before="120" w:beforeLines="50" w:line="400" w:lineRule="atLeast"/>
        <w:ind w:right="420"/>
        <w:rPr>
          <w:rFonts w:hint="eastAsia" w:ascii="宋体" w:hAnsi="宋体" w:cs="宋体"/>
          <w:color w:val="auto"/>
          <w:szCs w:val="21"/>
          <w:highlight w:val="none"/>
        </w:rPr>
      </w:pPr>
      <w:r>
        <w:rPr>
          <w:rFonts w:hint="eastAsia" w:ascii="宋体" w:hAnsi="宋体" w:cs="宋体"/>
          <w:color w:val="auto"/>
          <w:szCs w:val="21"/>
          <w:highlight w:val="none"/>
        </w:rPr>
        <w:t>法定代表人（签字或盖章）：</w:t>
      </w:r>
      <w:r>
        <w:rPr>
          <w:rFonts w:hint="eastAsia" w:ascii="宋体" w:hAnsi="宋体" w:cs="宋体"/>
          <w:color w:val="auto"/>
          <w:szCs w:val="21"/>
          <w:highlight w:val="none"/>
          <w:u w:val="single"/>
        </w:rPr>
        <w:t xml:space="preserve">                     </w:t>
      </w:r>
    </w:p>
    <w:p w14:paraId="55C2183D">
      <w:pPr>
        <w:spacing w:line="400" w:lineRule="atLeast"/>
        <w:ind w:firstLine="1995" w:firstLineChars="950"/>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18579EA0">
      <w:pPr>
        <w:spacing w:line="400" w:lineRule="atLeast"/>
        <w:ind w:firstLine="1995" w:firstLineChars="950"/>
        <w:rPr>
          <w:rFonts w:hint="eastAsia" w:ascii="宋体" w:hAnsi="宋体" w:cs="宋体"/>
          <w:color w:val="auto"/>
          <w:szCs w:val="21"/>
          <w:highlight w:val="none"/>
        </w:rPr>
      </w:pPr>
    </w:p>
    <w:p w14:paraId="07C292CB">
      <w:pPr>
        <w:spacing w:line="400" w:lineRule="atLeas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注：1、本项目只允许有唯一的供应商授权代表，提供身份证明扫描件；</w:t>
      </w:r>
    </w:p>
    <w:p w14:paraId="4E0180FA">
      <w:pPr>
        <w:spacing w:line="400" w:lineRule="atLeast"/>
        <w:ind w:firstLine="420" w:firstLineChars="200"/>
        <w:rPr>
          <w:color w:val="auto"/>
          <w:szCs w:val="21"/>
          <w:highlight w:val="none"/>
        </w:rPr>
      </w:pPr>
      <w:r>
        <w:rPr>
          <w:rFonts w:hint="eastAsia" w:ascii="宋体" w:hAnsi="宋体" w:cs="宋体"/>
          <w:color w:val="auto"/>
          <w:szCs w:val="21"/>
          <w:highlight w:val="none"/>
        </w:rPr>
        <w:t>2、法定代表人参加投标的无需提供投标授权书，提供身份证明扫描件。</w:t>
      </w:r>
    </w:p>
    <w:p w14:paraId="4C5D466E">
      <w:pPr>
        <w:rPr>
          <w:rFonts w:hint="eastAsia" w:ascii="宋体" w:hAnsi="宋体"/>
          <w:b/>
          <w:color w:val="auto"/>
          <w:szCs w:val="21"/>
          <w:highlight w:val="none"/>
        </w:rPr>
      </w:pPr>
    </w:p>
    <w:bookmarkEnd w:id="209"/>
    <w:bookmarkEnd w:id="210"/>
    <w:p w14:paraId="51EF7DF7">
      <w:pPr>
        <w:spacing w:line="360" w:lineRule="auto"/>
        <w:jc w:val="center"/>
        <w:outlineLvl w:val="1"/>
        <w:rPr>
          <w:rFonts w:hint="eastAsia" w:ascii="宋体" w:hAnsi="宋体"/>
          <w:b/>
          <w:color w:val="auto"/>
          <w:sz w:val="24"/>
          <w:highlight w:val="none"/>
        </w:rPr>
      </w:pPr>
      <w:bookmarkStart w:id="211" w:name="_Toc22233"/>
      <w:bookmarkStart w:id="212" w:name="_Toc28033"/>
      <w:bookmarkStart w:id="213" w:name="_Toc417465580"/>
      <w:r>
        <w:rPr>
          <w:rFonts w:hint="eastAsia" w:ascii="宋体" w:hAnsi="宋体"/>
          <w:b/>
          <w:color w:val="auto"/>
          <w:sz w:val="24"/>
          <w:highlight w:val="none"/>
        </w:rPr>
        <w:br w:type="page"/>
      </w:r>
      <w:r>
        <w:rPr>
          <w:rFonts w:hint="eastAsia" w:ascii="宋体" w:hAnsi="宋体"/>
          <w:b/>
          <w:color w:val="auto"/>
          <w:sz w:val="24"/>
          <w:highlight w:val="none"/>
        </w:rPr>
        <w:t>六、磋商响应表</w:t>
      </w:r>
      <w:bookmarkEnd w:id="211"/>
      <w:bookmarkEnd w:id="212"/>
    </w:p>
    <w:p w14:paraId="5D04CEAD">
      <w:pPr>
        <w:spacing w:line="360" w:lineRule="auto"/>
        <w:ind w:firstLine="437"/>
        <w:rPr>
          <w:rFonts w:hint="eastAsia" w:ascii="宋体" w:hAnsi="宋体"/>
          <w:b/>
          <w:color w:val="auto"/>
          <w:sz w:val="24"/>
          <w:highlight w:val="none"/>
        </w:rPr>
      </w:pPr>
      <w:r>
        <w:rPr>
          <w:rFonts w:hint="eastAsia" w:ascii="宋体" w:hAnsi="宋体"/>
          <w:b/>
          <w:color w:val="auto"/>
          <w:sz w:val="24"/>
          <w:highlight w:val="none"/>
        </w:rPr>
        <w:t>6</w:t>
      </w:r>
      <w:r>
        <w:rPr>
          <w:rFonts w:ascii="宋体" w:hAnsi="宋体"/>
          <w:b/>
          <w:color w:val="auto"/>
          <w:sz w:val="24"/>
          <w:highlight w:val="none"/>
        </w:rPr>
        <w:t>.1</w:t>
      </w:r>
      <w:r>
        <w:rPr>
          <w:rFonts w:hint="eastAsia" w:ascii="宋体" w:hAnsi="宋体"/>
          <w:b/>
          <w:color w:val="auto"/>
          <w:sz w:val="24"/>
          <w:highlight w:val="none"/>
        </w:rPr>
        <w:t>商务响应表</w:t>
      </w:r>
    </w:p>
    <w:tbl>
      <w:tblPr>
        <w:tblStyle w:val="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918"/>
        <w:gridCol w:w="2500"/>
        <w:gridCol w:w="2576"/>
        <w:gridCol w:w="811"/>
      </w:tblGrid>
      <w:tr w14:paraId="3C6C4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jc w:val="center"/>
        </w:trPr>
        <w:tc>
          <w:tcPr>
            <w:tcW w:w="723" w:type="dxa"/>
            <w:vAlign w:val="center"/>
          </w:tcPr>
          <w:p w14:paraId="59AFF18F">
            <w:pPr>
              <w:pStyle w:val="41"/>
              <w:jc w:val="center"/>
              <w:rPr>
                <w:rFonts w:hint="eastAsia" w:hAnsi="宋体" w:cs="Wingdings"/>
                <w:b/>
                <w:color w:val="auto"/>
                <w:sz w:val="24"/>
                <w:highlight w:val="none"/>
              </w:rPr>
            </w:pPr>
            <w:r>
              <w:rPr>
                <w:rFonts w:hint="eastAsia" w:hAnsi="宋体" w:cs="Wingdings"/>
                <w:b/>
                <w:color w:val="auto"/>
                <w:sz w:val="24"/>
                <w:highlight w:val="none"/>
              </w:rPr>
              <w:t>序号</w:t>
            </w:r>
          </w:p>
        </w:tc>
        <w:tc>
          <w:tcPr>
            <w:tcW w:w="1918" w:type="dxa"/>
            <w:vAlign w:val="center"/>
          </w:tcPr>
          <w:p w14:paraId="53B33932">
            <w:pPr>
              <w:pStyle w:val="41"/>
              <w:jc w:val="center"/>
              <w:rPr>
                <w:rFonts w:hint="eastAsia" w:hAnsi="宋体" w:cs="Wingdings"/>
                <w:b/>
                <w:color w:val="auto"/>
                <w:sz w:val="24"/>
                <w:highlight w:val="none"/>
              </w:rPr>
            </w:pPr>
            <w:r>
              <w:rPr>
                <w:rFonts w:hint="eastAsia" w:hAnsi="宋体"/>
                <w:b/>
                <w:bCs/>
                <w:color w:val="auto"/>
                <w:sz w:val="24"/>
                <w:szCs w:val="24"/>
                <w:highlight w:val="none"/>
              </w:rPr>
              <w:t>商务条款</w:t>
            </w:r>
          </w:p>
        </w:tc>
        <w:tc>
          <w:tcPr>
            <w:tcW w:w="2500" w:type="dxa"/>
            <w:vAlign w:val="center"/>
          </w:tcPr>
          <w:p w14:paraId="33A3C6DA">
            <w:pPr>
              <w:pStyle w:val="41"/>
              <w:jc w:val="center"/>
              <w:rPr>
                <w:rFonts w:hint="eastAsia" w:hAnsi="宋体" w:cs="Wingdings"/>
                <w:b/>
                <w:color w:val="auto"/>
                <w:sz w:val="24"/>
                <w:highlight w:val="none"/>
              </w:rPr>
            </w:pPr>
            <w:r>
              <w:rPr>
                <w:rFonts w:hint="eastAsia" w:hAnsi="宋体" w:cs="Wingdings"/>
                <w:b/>
                <w:color w:val="auto"/>
                <w:sz w:val="24"/>
                <w:highlight w:val="none"/>
              </w:rPr>
              <w:t>磋商文件要求</w:t>
            </w:r>
          </w:p>
        </w:tc>
        <w:tc>
          <w:tcPr>
            <w:tcW w:w="2576" w:type="dxa"/>
            <w:vAlign w:val="center"/>
          </w:tcPr>
          <w:p w14:paraId="56CF8BC0">
            <w:pPr>
              <w:pStyle w:val="41"/>
              <w:jc w:val="center"/>
              <w:rPr>
                <w:rFonts w:hint="eastAsia" w:hAnsi="宋体" w:cs="Wingdings"/>
                <w:b/>
                <w:color w:val="auto"/>
                <w:sz w:val="24"/>
                <w:highlight w:val="none"/>
              </w:rPr>
            </w:pPr>
            <w:r>
              <w:rPr>
                <w:rFonts w:hint="eastAsia" w:hAnsi="宋体" w:cs="Wingdings"/>
                <w:b/>
                <w:color w:val="auto"/>
                <w:sz w:val="24"/>
                <w:highlight w:val="none"/>
              </w:rPr>
              <w:t>供应商承诺</w:t>
            </w:r>
          </w:p>
        </w:tc>
        <w:tc>
          <w:tcPr>
            <w:tcW w:w="811" w:type="dxa"/>
            <w:vAlign w:val="center"/>
          </w:tcPr>
          <w:p w14:paraId="19FFC5F2">
            <w:pPr>
              <w:pStyle w:val="41"/>
              <w:jc w:val="center"/>
              <w:rPr>
                <w:rFonts w:hint="eastAsia" w:hAnsi="宋体" w:cs="Wingdings"/>
                <w:b/>
                <w:color w:val="auto"/>
                <w:sz w:val="24"/>
                <w:highlight w:val="none"/>
              </w:rPr>
            </w:pPr>
            <w:r>
              <w:rPr>
                <w:rFonts w:hint="eastAsia" w:hAnsi="宋体" w:cs="Wingdings"/>
                <w:b/>
                <w:color w:val="auto"/>
                <w:sz w:val="24"/>
                <w:highlight w:val="none"/>
              </w:rPr>
              <w:t>偏离说明</w:t>
            </w:r>
          </w:p>
        </w:tc>
      </w:tr>
      <w:tr w14:paraId="39B2E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23" w:type="dxa"/>
            <w:vAlign w:val="center"/>
          </w:tcPr>
          <w:p w14:paraId="161AE851">
            <w:pPr>
              <w:jc w:val="center"/>
              <w:rPr>
                <w:rFonts w:hint="eastAsia" w:ascii="宋体" w:hAnsi="宋体"/>
                <w:color w:val="auto"/>
                <w:sz w:val="24"/>
                <w:highlight w:val="none"/>
              </w:rPr>
            </w:pPr>
            <w:r>
              <w:rPr>
                <w:rFonts w:ascii="宋体" w:hAnsi="宋体"/>
                <w:color w:val="auto"/>
                <w:sz w:val="24"/>
                <w:highlight w:val="none"/>
              </w:rPr>
              <w:t>1</w:t>
            </w:r>
          </w:p>
        </w:tc>
        <w:tc>
          <w:tcPr>
            <w:tcW w:w="1918" w:type="dxa"/>
            <w:vAlign w:val="center"/>
          </w:tcPr>
          <w:p w14:paraId="7557C5AF">
            <w:pPr>
              <w:jc w:val="center"/>
              <w:rPr>
                <w:rFonts w:hint="eastAsia" w:ascii="宋体" w:hAnsi="宋体"/>
                <w:color w:val="auto"/>
                <w:sz w:val="24"/>
                <w:highlight w:val="none"/>
              </w:rPr>
            </w:pPr>
            <w:r>
              <w:rPr>
                <w:rFonts w:ascii="宋体" w:hAnsi="宋体"/>
                <w:color w:val="auto"/>
                <w:sz w:val="24"/>
                <w:highlight w:val="none"/>
              </w:rPr>
              <w:t>付款方式</w:t>
            </w:r>
          </w:p>
        </w:tc>
        <w:tc>
          <w:tcPr>
            <w:tcW w:w="2500" w:type="dxa"/>
            <w:vAlign w:val="center"/>
          </w:tcPr>
          <w:p w14:paraId="20EA5C8C">
            <w:pPr>
              <w:jc w:val="center"/>
              <w:rPr>
                <w:rFonts w:hint="eastAsia" w:ascii="宋体" w:hAnsi="宋体"/>
                <w:color w:val="auto"/>
                <w:sz w:val="24"/>
                <w:highlight w:val="none"/>
              </w:rPr>
            </w:pPr>
          </w:p>
        </w:tc>
        <w:tc>
          <w:tcPr>
            <w:tcW w:w="2576" w:type="dxa"/>
            <w:vAlign w:val="center"/>
          </w:tcPr>
          <w:p w14:paraId="576791C3">
            <w:pPr>
              <w:jc w:val="center"/>
              <w:rPr>
                <w:rFonts w:hint="eastAsia" w:ascii="宋体" w:hAnsi="宋体"/>
                <w:color w:val="auto"/>
                <w:sz w:val="24"/>
                <w:highlight w:val="none"/>
              </w:rPr>
            </w:pPr>
          </w:p>
        </w:tc>
        <w:tc>
          <w:tcPr>
            <w:tcW w:w="811" w:type="dxa"/>
            <w:vAlign w:val="center"/>
          </w:tcPr>
          <w:p w14:paraId="710D95CE">
            <w:pPr>
              <w:jc w:val="center"/>
              <w:rPr>
                <w:rFonts w:hint="eastAsia" w:ascii="宋体" w:hAnsi="宋体"/>
                <w:color w:val="auto"/>
                <w:sz w:val="24"/>
                <w:highlight w:val="none"/>
              </w:rPr>
            </w:pPr>
          </w:p>
        </w:tc>
      </w:tr>
      <w:tr w14:paraId="71BFA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23" w:type="dxa"/>
            <w:vAlign w:val="center"/>
          </w:tcPr>
          <w:p w14:paraId="215D76BE">
            <w:pPr>
              <w:jc w:val="center"/>
              <w:rPr>
                <w:rFonts w:hint="eastAsia" w:ascii="宋体" w:hAnsi="宋体"/>
                <w:color w:val="auto"/>
                <w:sz w:val="24"/>
                <w:highlight w:val="none"/>
              </w:rPr>
            </w:pPr>
            <w:r>
              <w:rPr>
                <w:rFonts w:hint="eastAsia" w:ascii="宋体" w:hAnsi="宋体"/>
                <w:color w:val="auto"/>
                <w:sz w:val="24"/>
                <w:highlight w:val="none"/>
              </w:rPr>
              <w:t>2</w:t>
            </w:r>
          </w:p>
        </w:tc>
        <w:tc>
          <w:tcPr>
            <w:tcW w:w="1918" w:type="dxa"/>
            <w:vAlign w:val="center"/>
          </w:tcPr>
          <w:p w14:paraId="4DC88987">
            <w:pPr>
              <w:jc w:val="center"/>
              <w:rPr>
                <w:rFonts w:hint="eastAsia" w:ascii="宋体" w:hAnsi="宋体"/>
                <w:color w:val="auto"/>
                <w:sz w:val="24"/>
                <w:highlight w:val="none"/>
              </w:rPr>
            </w:pPr>
            <w:r>
              <w:rPr>
                <w:rFonts w:hint="eastAsia" w:ascii="宋体" w:hAnsi="宋体"/>
                <w:color w:val="auto"/>
                <w:sz w:val="24"/>
                <w:highlight w:val="none"/>
              </w:rPr>
              <w:t>服务地点</w:t>
            </w:r>
          </w:p>
        </w:tc>
        <w:tc>
          <w:tcPr>
            <w:tcW w:w="2500" w:type="dxa"/>
            <w:vAlign w:val="center"/>
          </w:tcPr>
          <w:p w14:paraId="13DEB63A">
            <w:pPr>
              <w:jc w:val="center"/>
              <w:rPr>
                <w:rFonts w:hint="eastAsia" w:ascii="宋体" w:hAnsi="宋体"/>
                <w:color w:val="auto"/>
                <w:sz w:val="24"/>
                <w:highlight w:val="none"/>
              </w:rPr>
            </w:pPr>
          </w:p>
        </w:tc>
        <w:tc>
          <w:tcPr>
            <w:tcW w:w="2576" w:type="dxa"/>
            <w:vAlign w:val="center"/>
          </w:tcPr>
          <w:p w14:paraId="6D329AA3">
            <w:pPr>
              <w:jc w:val="center"/>
              <w:rPr>
                <w:rFonts w:hint="eastAsia" w:ascii="宋体" w:hAnsi="宋体"/>
                <w:color w:val="auto"/>
                <w:sz w:val="24"/>
                <w:highlight w:val="none"/>
              </w:rPr>
            </w:pPr>
          </w:p>
        </w:tc>
        <w:tc>
          <w:tcPr>
            <w:tcW w:w="811" w:type="dxa"/>
            <w:vAlign w:val="center"/>
          </w:tcPr>
          <w:p w14:paraId="5E437DD9">
            <w:pPr>
              <w:jc w:val="center"/>
              <w:rPr>
                <w:rFonts w:hint="eastAsia" w:ascii="宋体" w:hAnsi="宋体"/>
                <w:color w:val="auto"/>
                <w:sz w:val="24"/>
                <w:highlight w:val="none"/>
              </w:rPr>
            </w:pPr>
          </w:p>
        </w:tc>
      </w:tr>
      <w:tr w14:paraId="2764A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23" w:type="dxa"/>
            <w:vAlign w:val="center"/>
          </w:tcPr>
          <w:p w14:paraId="158FCE57">
            <w:pPr>
              <w:jc w:val="center"/>
              <w:rPr>
                <w:rFonts w:hint="eastAsia" w:ascii="宋体" w:hAnsi="宋体"/>
                <w:color w:val="auto"/>
                <w:sz w:val="24"/>
                <w:highlight w:val="none"/>
              </w:rPr>
            </w:pPr>
            <w:r>
              <w:rPr>
                <w:rFonts w:hint="eastAsia" w:ascii="宋体" w:hAnsi="宋体"/>
                <w:color w:val="auto"/>
                <w:sz w:val="24"/>
                <w:highlight w:val="none"/>
              </w:rPr>
              <w:t>3</w:t>
            </w:r>
          </w:p>
        </w:tc>
        <w:tc>
          <w:tcPr>
            <w:tcW w:w="1918" w:type="dxa"/>
            <w:vAlign w:val="center"/>
          </w:tcPr>
          <w:p w14:paraId="0C0C1097">
            <w:pPr>
              <w:jc w:val="center"/>
              <w:rPr>
                <w:rFonts w:hint="eastAsia" w:ascii="宋体" w:hAnsi="宋体"/>
                <w:color w:val="auto"/>
                <w:sz w:val="24"/>
                <w:highlight w:val="none"/>
              </w:rPr>
            </w:pPr>
            <w:r>
              <w:rPr>
                <w:rFonts w:hint="eastAsia" w:ascii="宋体" w:hAnsi="宋体"/>
                <w:color w:val="auto"/>
                <w:sz w:val="24"/>
                <w:highlight w:val="none"/>
              </w:rPr>
              <w:t>服务期限</w:t>
            </w:r>
          </w:p>
        </w:tc>
        <w:tc>
          <w:tcPr>
            <w:tcW w:w="2500" w:type="dxa"/>
            <w:vAlign w:val="center"/>
          </w:tcPr>
          <w:p w14:paraId="02521FA0">
            <w:pPr>
              <w:jc w:val="center"/>
              <w:rPr>
                <w:rFonts w:hint="eastAsia" w:ascii="宋体" w:hAnsi="宋体"/>
                <w:color w:val="auto"/>
                <w:sz w:val="24"/>
                <w:highlight w:val="none"/>
              </w:rPr>
            </w:pPr>
          </w:p>
        </w:tc>
        <w:tc>
          <w:tcPr>
            <w:tcW w:w="2576" w:type="dxa"/>
            <w:vAlign w:val="center"/>
          </w:tcPr>
          <w:p w14:paraId="5E36873C">
            <w:pPr>
              <w:pStyle w:val="223"/>
              <w:jc w:val="center"/>
              <w:rPr>
                <w:rFonts w:hint="eastAsia" w:ascii="宋体" w:hAnsi="宋体"/>
                <w:color w:val="auto"/>
                <w:highlight w:val="none"/>
              </w:rPr>
            </w:pPr>
          </w:p>
        </w:tc>
        <w:tc>
          <w:tcPr>
            <w:tcW w:w="811" w:type="dxa"/>
            <w:vAlign w:val="center"/>
          </w:tcPr>
          <w:p w14:paraId="2319C5F8">
            <w:pPr>
              <w:jc w:val="center"/>
              <w:rPr>
                <w:rFonts w:hint="eastAsia" w:ascii="宋体" w:hAnsi="宋体"/>
                <w:color w:val="auto"/>
                <w:sz w:val="24"/>
                <w:highlight w:val="none"/>
              </w:rPr>
            </w:pPr>
          </w:p>
        </w:tc>
      </w:tr>
      <w:tr w14:paraId="1AE90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23" w:type="dxa"/>
            <w:vAlign w:val="center"/>
          </w:tcPr>
          <w:p w14:paraId="2EA8AC89">
            <w:pPr>
              <w:jc w:val="center"/>
              <w:rPr>
                <w:rFonts w:hint="eastAsia" w:ascii="宋体" w:hAnsi="宋体"/>
                <w:color w:val="auto"/>
                <w:sz w:val="24"/>
                <w:highlight w:val="none"/>
              </w:rPr>
            </w:pPr>
            <w:r>
              <w:rPr>
                <w:rFonts w:hint="eastAsia" w:ascii="宋体" w:hAnsi="宋体"/>
                <w:color w:val="auto"/>
                <w:sz w:val="24"/>
                <w:highlight w:val="none"/>
              </w:rPr>
              <w:t>…</w:t>
            </w:r>
          </w:p>
        </w:tc>
        <w:tc>
          <w:tcPr>
            <w:tcW w:w="1918" w:type="dxa"/>
            <w:vAlign w:val="center"/>
          </w:tcPr>
          <w:p w14:paraId="65109EEC">
            <w:pPr>
              <w:jc w:val="center"/>
              <w:rPr>
                <w:rFonts w:hint="eastAsia" w:ascii="宋体" w:hAnsi="宋体"/>
                <w:color w:val="auto"/>
                <w:sz w:val="24"/>
                <w:highlight w:val="none"/>
              </w:rPr>
            </w:pPr>
          </w:p>
        </w:tc>
        <w:tc>
          <w:tcPr>
            <w:tcW w:w="2500" w:type="dxa"/>
            <w:vAlign w:val="center"/>
          </w:tcPr>
          <w:p w14:paraId="47BF1CAB">
            <w:pPr>
              <w:jc w:val="center"/>
              <w:rPr>
                <w:rFonts w:hint="eastAsia" w:ascii="宋体" w:hAnsi="宋体"/>
                <w:color w:val="auto"/>
                <w:sz w:val="24"/>
                <w:highlight w:val="none"/>
              </w:rPr>
            </w:pPr>
          </w:p>
        </w:tc>
        <w:tc>
          <w:tcPr>
            <w:tcW w:w="2576" w:type="dxa"/>
            <w:vAlign w:val="center"/>
          </w:tcPr>
          <w:p w14:paraId="3C792D95">
            <w:pPr>
              <w:jc w:val="center"/>
              <w:rPr>
                <w:rFonts w:hint="eastAsia" w:ascii="宋体" w:hAnsi="宋体"/>
                <w:color w:val="auto"/>
                <w:sz w:val="24"/>
                <w:highlight w:val="none"/>
              </w:rPr>
            </w:pPr>
          </w:p>
        </w:tc>
        <w:tc>
          <w:tcPr>
            <w:tcW w:w="811" w:type="dxa"/>
            <w:vAlign w:val="center"/>
          </w:tcPr>
          <w:p w14:paraId="2F726E3F">
            <w:pPr>
              <w:jc w:val="center"/>
              <w:rPr>
                <w:rFonts w:hint="eastAsia" w:ascii="宋体" w:hAnsi="宋体"/>
                <w:color w:val="auto"/>
                <w:sz w:val="24"/>
                <w:highlight w:val="none"/>
              </w:rPr>
            </w:pPr>
          </w:p>
        </w:tc>
      </w:tr>
    </w:tbl>
    <w:p w14:paraId="24A2A6A4">
      <w:pPr>
        <w:adjustRightInd w:val="0"/>
        <w:snapToGrid w:val="0"/>
        <w:spacing w:before="120" w:beforeLines="50" w:line="400" w:lineRule="atLeast"/>
        <w:rPr>
          <w:rFonts w:hint="eastAsia" w:ascii="宋体" w:hAnsi="宋体" w:cs="宋体"/>
          <w:color w:val="auto"/>
          <w:szCs w:val="21"/>
          <w:highlight w:val="none"/>
        </w:rPr>
      </w:pPr>
      <w:bookmarkStart w:id="214" w:name="_Toc17888"/>
      <w:bookmarkStart w:id="215" w:name="_Hlk60608597"/>
      <w:bookmarkStart w:id="216" w:name="_Toc6445"/>
    </w:p>
    <w:p w14:paraId="0B64EEDF">
      <w:pPr>
        <w:adjustRightInd w:val="0"/>
        <w:snapToGrid w:val="0"/>
        <w:spacing w:before="120" w:beforeLines="50" w:line="400" w:lineRule="atLeast"/>
        <w:rPr>
          <w:rFonts w:hint="eastAsia" w:ascii="宋体" w:hAnsi="宋体" w:cs="宋体"/>
          <w:color w:val="auto"/>
          <w:szCs w:val="21"/>
          <w:highlight w:val="none"/>
        </w:rPr>
      </w:pPr>
    </w:p>
    <w:p w14:paraId="2B4E044D">
      <w:pPr>
        <w:adjustRightInd w:val="0"/>
        <w:snapToGrid w:val="0"/>
        <w:spacing w:before="120" w:beforeLines="50" w:line="400" w:lineRule="atLeast"/>
        <w:rPr>
          <w:rFonts w:hint="eastAsia" w:ascii="宋体" w:hAnsi="宋体" w:cs="宋体"/>
          <w:color w:val="auto"/>
          <w:szCs w:val="21"/>
          <w:highlight w:val="none"/>
        </w:rPr>
      </w:pPr>
      <w:r>
        <w:rPr>
          <w:rFonts w:hint="eastAsia" w:ascii="宋体" w:hAnsi="宋体" w:cs="宋体"/>
          <w:color w:val="auto"/>
          <w:szCs w:val="21"/>
          <w:highlight w:val="none"/>
        </w:rPr>
        <w:t>供应商：</w:t>
      </w:r>
      <w:r>
        <w:rPr>
          <w:rFonts w:hint="eastAsia" w:ascii="宋体" w:hAnsi="宋体" w:cs="宋体"/>
          <w:color w:val="auto"/>
          <w:szCs w:val="21"/>
          <w:highlight w:val="none"/>
          <w:u w:val="single"/>
        </w:rPr>
        <w:t xml:space="preserve">                 （公章）</w:t>
      </w:r>
    </w:p>
    <w:p w14:paraId="315479EA">
      <w:pPr>
        <w:adjustRightInd w:val="0"/>
        <w:snapToGrid w:val="0"/>
        <w:spacing w:before="120" w:beforeLines="50" w:line="400" w:lineRule="atLeast"/>
        <w:ind w:right="420"/>
        <w:rPr>
          <w:rFonts w:hint="eastAsia" w:ascii="宋体" w:hAnsi="宋体" w:cs="宋体"/>
          <w:color w:val="auto"/>
          <w:szCs w:val="21"/>
          <w:highlight w:val="none"/>
        </w:rPr>
      </w:pPr>
    </w:p>
    <w:p w14:paraId="7D94E969">
      <w:pPr>
        <w:pStyle w:val="2"/>
        <w:rPr>
          <w:color w:val="auto"/>
          <w:highlight w:val="none"/>
        </w:rPr>
      </w:pPr>
    </w:p>
    <w:p w14:paraId="4E79F64E">
      <w:pPr>
        <w:spacing w:line="400" w:lineRule="atLeast"/>
        <w:ind w:firstLine="1995" w:firstLineChars="950"/>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674FAB85">
      <w:pPr>
        <w:spacing w:line="400" w:lineRule="atLeast"/>
        <w:ind w:firstLine="1995" w:firstLineChars="950"/>
        <w:rPr>
          <w:rFonts w:hint="eastAsia" w:ascii="宋体" w:hAnsi="宋体" w:cs="宋体"/>
          <w:color w:val="auto"/>
          <w:szCs w:val="21"/>
          <w:highlight w:val="none"/>
        </w:rPr>
      </w:pPr>
    </w:p>
    <w:bookmarkEnd w:id="214"/>
    <w:bookmarkEnd w:id="215"/>
    <w:bookmarkEnd w:id="216"/>
    <w:p w14:paraId="4CB3FB56">
      <w:pPr>
        <w:tabs>
          <w:tab w:val="left" w:pos="4620"/>
        </w:tabs>
        <w:spacing w:line="360" w:lineRule="auto"/>
        <w:jc w:val="left"/>
        <w:rPr>
          <w:rFonts w:hint="eastAsia" w:ascii="宋体" w:hAnsi="宋体" w:cs="宋体"/>
          <w:b/>
          <w:bCs/>
          <w:color w:val="auto"/>
          <w:szCs w:val="21"/>
          <w:highlight w:val="none"/>
          <w:lang w:val="zh-CN"/>
        </w:rPr>
      </w:pPr>
    </w:p>
    <w:p w14:paraId="533751CD">
      <w:pPr>
        <w:tabs>
          <w:tab w:val="left" w:pos="4620"/>
        </w:tabs>
        <w:spacing w:line="360" w:lineRule="auto"/>
        <w:jc w:val="center"/>
        <w:outlineLvl w:val="1"/>
        <w:rPr>
          <w:rFonts w:hint="eastAsia" w:ascii="宋体" w:hAnsi="宋体"/>
          <w:b/>
          <w:color w:val="auto"/>
          <w:sz w:val="24"/>
          <w:highlight w:val="none"/>
        </w:rPr>
      </w:pPr>
      <w:r>
        <w:rPr>
          <w:rFonts w:hint="eastAsia" w:ascii="宋体" w:hAnsi="宋体" w:cs="宋体"/>
          <w:b/>
          <w:bCs/>
          <w:color w:val="auto"/>
          <w:szCs w:val="21"/>
          <w:highlight w:val="none"/>
          <w:lang w:val="zh-CN"/>
        </w:rPr>
        <w:br w:type="page"/>
      </w:r>
      <w:bookmarkStart w:id="217" w:name="_Toc2278"/>
      <w:bookmarkStart w:id="218" w:name="_Toc20592"/>
      <w:r>
        <w:rPr>
          <w:rFonts w:hint="eastAsia" w:ascii="宋体" w:hAnsi="宋体"/>
          <w:b/>
          <w:color w:val="auto"/>
          <w:sz w:val="24"/>
          <w:highlight w:val="none"/>
        </w:rPr>
        <w:t>七、诚信履约承诺函</w:t>
      </w:r>
      <w:bookmarkEnd w:id="217"/>
      <w:bookmarkEnd w:id="218"/>
    </w:p>
    <w:p w14:paraId="7F6A4C07">
      <w:pPr>
        <w:spacing w:line="360" w:lineRule="auto"/>
        <w:rPr>
          <w:rFonts w:hint="eastAsia" w:ascii="宋体" w:hAnsi="宋体"/>
          <w:b/>
          <w:bCs/>
          <w:color w:val="auto"/>
          <w:sz w:val="24"/>
          <w:highlight w:val="none"/>
        </w:rPr>
      </w:pPr>
    </w:p>
    <w:p w14:paraId="275E99E0">
      <w:pPr>
        <w:spacing w:line="360" w:lineRule="auto"/>
        <w:rPr>
          <w:rFonts w:hint="eastAsia" w:ascii="宋体" w:hAnsi="宋体"/>
          <w:b/>
          <w:bCs/>
          <w:color w:val="auto"/>
          <w:sz w:val="24"/>
          <w:highlight w:val="none"/>
          <w:u w:val="single"/>
        </w:rPr>
      </w:pPr>
      <w:r>
        <w:rPr>
          <w:rFonts w:hint="eastAsia" w:ascii="宋体" w:hAnsi="宋体"/>
          <w:b/>
          <w:bCs/>
          <w:color w:val="auto"/>
          <w:sz w:val="24"/>
          <w:highlight w:val="none"/>
        </w:rPr>
        <w:t>致：采购人</w:t>
      </w:r>
    </w:p>
    <w:p w14:paraId="7ABC6F00">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如我单位被确定为本项目成交供应商，我单位承诺在合同签订及履约过程中将严格执行《中华人民共和国政府采购法》、《中华人民共和国政府采购法实施条例》及本项目采购文件中关于合同签订及履约的相关规定，不出现以下情形：</w:t>
      </w:r>
    </w:p>
    <w:p w14:paraId="0B91B8CE">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（1）中标或者成交后无正当理由拒不与采购人签订政府采购合同；</w:t>
      </w:r>
    </w:p>
    <w:p w14:paraId="647233D2">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（2）未按照采购文件确定的事项签订政府采购合同；</w:t>
      </w:r>
    </w:p>
    <w:p w14:paraId="02971345">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（3）将政府采购合同转包；</w:t>
      </w:r>
    </w:p>
    <w:p w14:paraId="10CF6EC2">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（4）提供假冒伪劣产品；</w:t>
      </w:r>
    </w:p>
    <w:p w14:paraId="647CC3ED">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（5）擅自变更、中止或者终止政府采购合同。</w:t>
      </w:r>
    </w:p>
    <w:p w14:paraId="4A238E43">
      <w:pPr>
        <w:tabs>
          <w:tab w:val="left" w:pos="4620"/>
        </w:tabs>
        <w:spacing w:line="360" w:lineRule="auto"/>
        <w:jc w:val="left"/>
        <w:rPr>
          <w:rFonts w:hint="eastAsia" w:ascii="宋体" w:hAnsi="宋体"/>
          <w:bCs/>
          <w:color w:val="auto"/>
          <w:sz w:val="24"/>
          <w:highlight w:val="none"/>
        </w:rPr>
      </w:pPr>
      <w:r>
        <w:rPr>
          <w:rFonts w:hint="eastAsia" w:ascii="宋体" w:hAnsi="宋体"/>
          <w:bCs/>
          <w:color w:val="auto"/>
          <w:sz w:val="24"/>
          <w:highlight w:val="none"/>
        </w:rPr>
        <w:t>本单位知悉如出现上述情形，将会被依法追究法律责任，可能的处理结果有：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49710747">
      <w:pPr>
        <w:adjustRightInd w:val="0"/>
        <w:snapToGrid w:val="0"/>
        <w:spacing w:before="120" w:beforeLines="50" w:line="400" w:lineRule="atLeast"/>
        <w:rPr>
          <w:rFonts w:hint="eastAsia" w:ascii="宋体" w:hAnsi="宋体"/>
          <w:color w:val="auto"/>
          <w:sz w:val="24"/>
          <w:highlight w:val="none"/>
        </w:rPr>
      </w:pPr>
      <w:r>
        <w:rPr>
          <w:rFonts w:hint="eastAsia" w:ascii="宋体" w:hAnsi="宋体"/>
          <w:color w:val="auto"/>
          <w:sz w:val="24"/>
          <w:highlight w:val="none"/>
        </w:rPr>
        <w:t>供应商</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 w:val="24"/>
          <w:highlight w:val="none"/>
          <w:u w:val="single"/>
        </w:rPr>
        <w:t xml:space="preserve"> （公章）</w:t>
      </w:r>
    </w:p>
    <w:p w14:paraId="4CE4DF38">
      <w:pPr>
        <w:tabs>
          <w:tab w:val="left" w:pos="4620"/>
        </w:tabs>
        <w:spacing w:line="360" w:lineRule="auto"/>
        <w:rPr>
          <w:rFonts w:hint="eastAsia" w:ascii="宋体" w:hAnsi="宋体"/>
          <w:color w:val="auto"/>
          <w:sz w:val="24"/>
          <w:highlight w:val="none"/>
        </w:rPr>
      </w:pPr>
    </w:p>
    <w:p w14:paraId="14ADB0B5">
      <w:pPr>
        <w:tabs>
          <w:tab w:val="left" w:pos="4620"/>
        </w:tabs>
        <w:spacing w:line="360" w:lineRule="auto"/>
        <w:rPr>
          <w:rFonts w:hint="eastAsia" w:ascii="宋体" w:hAnsi="宋体"/>
          <w:color w:val="auto"/>
          <w:sz w:val="24"/>
          <w:highlight w:val="none"/>
          <w:u w:val="single"/>
        </w:rPr>
      </w:pPr>
      <w:r>
        <w:rPr>
          <w:rFonts w:hint="eastAsia" w:ascii="宋体" w:hAnsi="宋体"/>
          <w:color w:val="auto"/>
          <w:sz w:val="24"/>
          <w:highlight w:val="none"/>
        </w:rPr>
        <w:t>日</w:t>
      </w:r>
      <w:r>
        <w:rPr>
          <w:rFonts w:ascii="宋体" w:hAnsi="宋体"/>
          <w:color w:val="auto"/>
          <w:sz w:val="24"/>
          <w:highlight w:val="none"/>
        </w:rPr>
        <w:t xml:space="preserve">      </w:t>
      </w:r>
      <w:r>
        <w:rPr>
          <w:rFonts w:hint="eastAsia" w:ascii="宋体" w:hAnsi="宋体"/>
          <w:color w:val="auto"/>
          <w:sz w:val="24"/>
          <w:highlight w:val="none"/>
        </w:rPr>
        <w:t xml:space="preserve">    期：</w:t>
      </w:r>
      <w:r>
        <w:rPr>
          <w:rFonts w:ascii="宋体" w:hAnsi="宋体"/>
          <w:color w:val="auto"/>
          <w:sz w:val="24"/>
          <w:highlight w:val="none"/>
          <w:u w:val="single"/>
        </w:rPr>
        <w:t xml:space="preserve">             </w:t>
      </w:r>
    </w:p>
    <w:p w14:paraId="2F92FD58">
      <w:pPr>
        <w:spacing w:line="360" w:lineRule="auto"/>
        <w:ind w:firstLine="435"/>
        <w:rPr>
          <w:color w:val="auto"/>
          <w:sz w:val="28"/>
          <w:szCs w:val="28"/>
          <w:highlight w:val="none"/>
        </w:rPr>
      </w:pPr>
      <w:r>
        <w:rPr>
          <w:rFonts w:hint="eastAsia"/>
          <w:color w:val="auto"/>
          <w:sz w:val="28"/>
          <w:szCs w:val="28"/>
          <w:highlight w:val="none"/>
        </w:rPr>
        <w:br w:type="page"/>
      </w:r>
      <w:bookmarkEnd w:id="213"/>
    </w:p>
    <w:p w14:paraId="5A994124">
      <w:pPr>
        <w:tabs>
          <w:tab w:val="left" w:pos="4620"/>
        </w:tabs>
        <w:spacing w:line="360" w:lineRule="auto"/>
        <w:jc w:val="center"/>
        <w:outlineLvl w:val="1"/>
        <w:rPr>
          <w:rFonts w:hint="eastAsia" w:ascii="宋体" w:hAnsi="宋体" w:cs="宋体"/>
          <w:b/>
          <w:bCs/>
          <w:color w:val="auto"/>
          <w:szCs w:val="21"/>
          <w:highlight w:val="none"/>
        </w:rPr>
      </w:pPr>
      <w:r>
        <w:rPr>
          <w:rFonts w:hint="eastAsia" w:ascii="宋体" w:hAnsi="宋体" w:cs="宋体"/>
          <w:b/>
          <w:bCs/>
          <w:color w:val="auto"/>
          <w:szCs w:val="21"/>
          <w:highlight w:val="none"/>
        </w:rPr>
        <w:t>八、其他相关证明材料</w:t>
      </w:r>
    </w:p>
    <w:p w14:paraId="006C5E5C">
      <w:pPr>
        <w:tabs>
          <w:tab w:val="left" w:pos="462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提供符合磋商邀请、采购需求及评审方法和标准规定的相关证明文件。</w:t>
      </w:r>
    </w:p>
    <w:p w14:paraId="793DC76F">
      <w:pPr>
        <w:adjustRightInd w:val="0"/>
        <w:snapToGrid w:val="0"/>
        <w:spacing w:line="360" w:lineRule="auto"/>
        <w:ind w:firstLine="560" w:firstLineChars="200"/>
        <w:rPr>
          <w:color w:val="auto"/>
          <w:sz w:val="28"/>
          <w:szCs w:val="28"/>
          <w:highlight w:val="none"/>
        </w:rPr>
      </w:pPr>
    </w:p>
    <w:bookmarkEnd w:id="191"/>
    <w:bookmarkEnd w:id="197"/>
    <w:p w14:paraId="69719F35">
      <w:pPr>
        <w:rPr>
          <w:color w:val="auto"/>
          <w:highlight w:val="none"/>
        </w:rPr>
      </w:pPr>
    </w:p>
    <w:sectPr>
      <w:headerReference r:id="rId8" w:type="default"/>
      <w:footerReference r:id="rId9" w:type="default"/>
      <w:pgSz w:w="11906" w:h="16838"/>
      <w:pgMar w:top="1440" w:right="1570" w:bottom="1440" w:left="151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宋体 ! important">
    <w:altName w:val="宋体"/>
    <w:panose1 w:val="00000000000000000000"/>
    <w:charset w:val="00"/>
    <w:family w:val="auto"/>
    <w:pitch w:val="default"/>
    <w:sig w:usb0="00000000" w:usb1="00000000" w:usb2="00000000" w:usb3="00000000" w:csb0="00040001" w:csb1="00000000"/>
  </w:font>
  <w:font w:name="Noto Sans Mono CJK JP Regular">
    <w:altName w:val="Segoe Print"/>
    <w:panose1 w:val="00000000000000000000"/>
    <w:charset w:val="00"/>
    <w:family w:val="swiss"/>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Arial Unicode MS">
    <w:panose1 w:val="020B0604020202020204"/>
    <w:charset w:val="86"/>
    <w:family w:val="roman"/>
    <w:pitch w:val="default"/>
    <w:sig w:usb0="F7FFAEFF" w:usb1="F9DFFFFF" w:usb2="0000007F" w:usb3="00000000" w:csb0="203F01FF" w:csb1="DFFF0000"/>
  </w:font>
  <w:font w:name="Helvetica">
    <w:panose1 w:val="020B0604020202020204"/>
    <w:charset w:val="00"/>
    <w:family w:val="swiss"/>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3FC8D">
    <w:pPr>
      <w:pStyle w:val="49"/>
      <w:tabs>
        <w:tab w:val="center" w:pos="4535"/>
        <w:tab w:val="clear" w:pos="4153"/>
      </w:tabs>
      <w:ind w:right="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E6B6A">
    <w:pPr>
      <w:pStyle w:val="49"/>
      <w:framePr w:wrap="around" w:vAnchor="text" w:hAnchor="margin" w:xAlign="center" w:y="1"/>
      <w:rPr>
        <w:rStyle w:val="124"/>
      </w:rPr>
    </w:pPr>
    <w:r>
      <w:fldChar w:fldCharType="begin"/>
    </w:r>
    <w:r>
      <w:rPr>
        <w:rStyle w:val="124"/>
      </w:rPr>
      <w:instrText xml:space="preserve">PAGE  </w:instrText>
    </w:r>
    <w:r>
      <w:fldChar w:fldCharType="end"/>
    </w:r>
  </w:p>
  <w:p w14:paraId="76C9E474">
    <w:pPr>
      <w:pStyle w:val="4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09C1C">
    <w:pPr>
      <w:pStyle w:val="49"/>
      <w:ind w:right="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357758525" name="文本框 3"/>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3D98D35F">
                          <w:pPr>
                            <w:pStyle w:val="49"/>
                            <w:rPr>
                              <w:rStyle w:val="124"/>
                            </w:rPr>
                          </w:pPr>
                          <w:r>
                            <w:fldChar w:fldCharType="begin"/>
                          </w:r>
                          <w:r>
                            <w:rPr>
                              <w:rStyle w:val="124"/>
                            </w:rPr>
                            <w:instrText xml:space="preserve">PAGE  </w:instrText>
                          </w:r>
                          <w:r>
                            <w:fldChar w:fldCharType="separate"/>
                          </w:r>
                          <w:r>
                            <w:rPr>
                              <w:rStyle w:val="124"/>
                            </w:rPr>
                            <w:t>5</w:t>
                          </w:r>
                          <w:r>
                            <w:fldChar w:fldCharType="end"/>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M+L3UTQAAAAAgEAAA8AAAAAAAAAAQAgAAAAIgAA&#10;AGRycy9kb3ducmV2LnhtbFBLAQIUABQAAAAIAIdO4kCrkpH5EAIAAAkEAAAOAAAAAAAAAAEAIAAA&#10;AB8BAABkcnMvZTJvRG9jLnhtbFBLBQYAAAAABgAGAFkBAAChBQAAAAA=&#10;">
              <v:fill on="f" focussize="0,0"/>
              <v:stroke on="f"/>
              <v:imagedata o:title=""/>
              <o:lock v:ext="edit" aspectratio="f"/>
              <v:textbox inset="0mm,0mm,0mm,0mm" style="mso-fit-shape-to-text:t;">
                <w:txbxContent>
                  <w:p w14:paraId="3D98D35F">
                    <w:pPr>
                      <w:pStyle w:val="49"/>
                      <w:rPr>
                        <w:rStyle w:val="124"/>
                      </w:rPr>
                    </w:pPr>
                    <w:r>
                      <w:fldChar w:fldCharType="begin"/>
                    </w:r>
                    <w:r>
                      <w:rPr>
                        <w:rStyle w:val="124"/>
                      </w:rPr>
                      <w:instrText xml:space="preserve">PAGE  </w:instrText>
                    </w:r>
                    <w:r>
                      <w:fldChar w:fldCharType="separate"/>
                    </w:r>
                    <w:r>
                      <w:rPr>
                        <w:rStyle w:val="124"/>
                      </w:rP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2D293">
    <w:pPr>
      <w:pStyle w:val="49"/>
      <w:ind w:right="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488175055"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6231E572">
                          <w:pPr>
                            <w:pStyle w:val="49"/>
                            <w:rPr>
                              <w:rStyle w:val="124"/>
                            </w:rPr>
                          </w:pPr>
                          <w:r>
                            <w:fldChar w:fldCharType="begin"/>
                          </w:r>
                          <w:r>
                            <w:rPr>
                              <w:rStyle w:val="124"/>
                            </w:rPr>
                            <w:instrText xml:space="preserve">PAGE  </w:instrText>
                          </w:r>
                          <w:r>
                            <w:fldChar w:fldCharType="separate"/>
                          </w:r>
                          <w:r>
                            <w:rPr>
                              <w:rStyle w:val="124"/>
                            </w:rPr>
                            <w:t>16</w:t>
                          </w:r>
                          <w:r>
                            <w:fldChar w:fldCharType="end"/>
                          </w:r>
                        </w:p>
                      </w:txbxContent>
                    </wps:txbx>
                    <wps:bodyPr rot="0" vert="horz" wrap="none" lIns="0" tIns="0" rIns="0" bIns="0" anchor="t" anchorCtr="0" upright="1">
                      <a:spAutoFit/>
                    </wps:bodyPr>
                  </wps:wsp>
                </a:graphicData>
              </a:graphic>
            </wp:anchor>
          </w:drawing>
        </mc:Choice>
        <mc:Fallback>
          <w:pict>
            <v:shape id="文本框 2"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Pi91E0AAAAAIBAAAPAAAAAAAAAAEAIAAAACIA&#10;AABkcnMvZG93bnJldi54bWxQSwECFAAUAAAACACHTuJA1IfXohECAAAKBAAADgAAAAAAAAABACAA&#10;AAAfAQAAZHJzL2Uyb0RvYy54bWxQSwUGAAAAAAYABgBZAQAAogUAAAAA&#10;">
              <v:fill on="f" focussize="0,0"/>
              <v:stroke on="f"/>
              <v:imagedata o:title=""/>
              <o:lock v:ext="edit" aspectratio="f"/>
              <v:textbox inset="0mm,0mm,0mm,0mm" style="mso-fit-shape-to-text:t;">
                <w:txbxContent>
                  <w:p w14:paraId="6231E572">
                    <w:pPr>
                      <w:pStyle w:val="49"/>
                      <w:rPr>
                        <w:rStyle w:val="124"/>
                      </w:rPr>
                    </w:pPr>
                    <w:r>
                      <w:fldChar w:fldCharType="begin"/>
                    </w:r>
                    <w:r>
                      <w:rPr>
                        <w:rStyle w:val="124"/>
                      </w:rPr>
                      <w:instrText xml:space="preserve">PAGE  </w:instrText>
                    </w:r>
                    <w:r>
                      <w:fldChar w:fldCharType="separate"/>
                    </w:r>
                    <w:r>
                      <w:rPr>
                        <w:rStyle w:val="124"/>
                      </w:rP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05110">
    <w:pPr>
      <w:pStyle w:val="50"/>
      <w:jc w:val="both"/>
      <w:rPr>
        <w:color w:val="FF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EB1C6">
    <w:pPr>
      <w:pStyle w:val="5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5C15E">
    <w:pPr>
      <w:pStyle w:val="50"/>
      <w:jc w:val="both"/>
      <w:rPr>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57"/>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43"/>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3"/>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4"/>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42"/>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18"/>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1"/>
      <w:lvlText w:val=""/>
      <w:lvlJc w:val="left"/>
      <w:pPr>
        <w:tabs>
          <w:tab w:val="left" w:pos="360"/>
        </w:tabs>
        <w:ind w:left="360" w:hanging="360"/>
      </w:pPr>
      <w:rPr>
        <w:rFonts w:hint="default" w:ascii="Wingdings" w:hAnsi="Wingdings"/>
      </w:rPr>
    </w:lvl>
  </w:abstractNum>
  <w:abstractNum w:abstractNumId="10">
    <w:nsid w:val="30E20D84"/>
    <w:multiLevelType w:val="singleLevel"/>
    <w:tmpl w:val="30E20D84"/>
    <w:lvl w:ilvl="0" w:tentative="0">
      <w:start w:val="1"/>
      <w:numFmt w:val="decimal"/>
      <w:pStyle w:val="205"/>
      <w:lvlText w:val="(%1)"/>
      <w:lvlJc w:val="left"/>
      <w:pPr>
        <w:tabs>
          <w:tab w:val="left" w:pos="960"/>
        </w:tabs>
        <w:ind w:left="960" w:hanging="465"/>
      </w:pPr>
      <w:rPr>
        <w:rFonts w:hint="default"/>
      </w:rPr>
    </w:lvl>
  </w:abstractNum>
  <w:abstractNum w:abstractNumId="11">
    <w:nsid w:val="32DD7AD6"/>
    <w:multiLevelType w:val="multilevel"/>
    <w:tmpl w:val="32DD7AD6"/>
    <w:lvl w:ilvl="0" w:tentative="0">
      <w:start w:val="1"/>
      <w:numFmt w:val="decimal"/>
      <w:pStyle w:val="5"/>
      <w:lvlText w:val="%1"/>
      <w:lvlJc w:val="left"/>
      <w:pPr>
        <w:tabs>
          <w:tab w:val="left" w:pos="907"/>
        </w:tabs>
        <w:ind w:left="907" w:hanging="907"/>
      </w:pPr>
      <w:rPr>
        <w:rFonts w:hint="eastAsia"/>
      </w:rPr>
    </w:lvl>
    <w:lvl w:ilvl="1" w:tentative="0">
      <w:start w:val="1"/>
      <w:numFmt w:val="decimal"/>
      <w:lvlText w:val="%1.%2"/>
      <w:lvlJc w:val="left"/>
      <w:pPr>
        <w:tabs>
          <w:tab w:val="left" w:pos="907"/>
        </w:tabs>
        <w:ind w:left="907" w:hanging="907"/>
      </w:pPr>
      <w:rPr>
        <w:rFonts w:hint="eastAsia"/>
      </w:rPr>
    </w:lvl>
    <w:lvl w:ilvl="2" w:tentative="0">
      <w:start w:val="1"/>
      <w:numFmt w:val="decimal"/>
      <w:lvlText w:val="%1.%2.%3"/>
      <w:lvlJc w:val="left"/>
      <w:pPr>
        <w:tabs>
          <w:tab w:val="left" w:pos="907"/>
        </w:tabs>
        <w:ind w:left="907" w:hanging="907"/>
      </w:pPr>
      <w:rPr>
        <w:rFonts w:hint="eastAsia"/>
      </w:rPr>
    </w:lvl>
    <w:lvl w:ilvl="3" w:tentative="0">
      <w:start w:val="1"/>
      <w:numFmt w:val="decimal"/>
      <w:lvlText w:val="%1.%2.%3.%4"/>
      <w:lvlJc w:val="left"/>
      <w:pPr>
        <w:tabs>
          <w:tab w:val="left" w:pos="907"/>
        </w:tabs>
        <w:ind w:left="907" w:hanging="907"/>
      </w:pPr>
      <w:rPr>
        <w:rFonts w:hint="eastAsia"/>
      </w:rPr>
    </w:lvl>
    <w:lvl w:ilvl="4" w:tentative="0">
      <w:start w:val="1"/>
      <w:numFmt w:val="decimal"/>
      <w:lvlText w:val="%1.%2.%3.%4.%5"/>
      <w:lvlJc w:val="left"/>
      <w:pPr>
        <w:tabs>
          <w:tab w:val="left" w:pos="907"/>
        </w:tabs>
        <w:ind w:left="907" w:hanging="907"/>
      </w:pPr>
      <w:rPr>
        <w:rFonts w:hint="eastAsia"/>
      </w:rPr>
    </w:lvl>
    <w:lvl w:ilvl="5" w:tentative="0">
      <w:start w:val="1"/>
      <w:numFmt w:val="decimal"/>
      <w:lvlText w:val="%1.%2.%3.%4.%5.%6"/>
      <w:lvlJc w:val="left"/>
      <w:pPr>
        <w:tabs>
          <w:tab w:val="left" w:pos="907"/>
        </w:tabs>
        <w:ind w:left="907" w:hanging="907"/>
      </w:pPr>
      <w:rPr>
        <w:rFonts w:hint="eastAsia"/>
      </w:rPr>
    </w:lvl>
    <w:lvl w:ilvl="6" w:tentative="0">
      <w:start w:val="1"/>
      <w:numFmt w:val="decimal"/>
      <w:lvlText w:val="%1.%2.%3.%4.%5.%6.%7"/>
      <w:lvlJc w:val="left"/>
      <w:pPr>
        <w:tabs>
          <w:tab w:val="left" w:pos="907"/>
        </w:tabs>
        <w:ind w:left="907" w:hanging="907"/>
      </w:pPr>
      <w:rPr>
        <w:rFonts w:hint="eastAsia"/>
      </w:rPr>
    </w:lvl>
    <w:lvl w:ilvl="7" w:tentative="0">
      <w:start w:val="1"/>
      <w:numFmt w:val="decimal"/>
      <w:lvlText w:val="%1.%2.%3.%4.%5.%6.%7.%8"/>
      <w:lvlJc w:val="left"/>
      <w:pPr>
        <w:tabs>
          <w:tab w:val="left" w:pos="907"/>
        </w:tabs>
        <w:ind w:left="907" w:hanging="907"/>
      </w:pPr>
      <w:rPr>
        <w:rFonts w:hint="eastAsia"/>
      </w:rPr>
    </w:lvl>
    <w:lvl w:ilvl="8" w:tentative="0">
      <w:start w:val="1"/>
      <w:numFmt w:val="decimal"/>
      <w:lvlText w:val="%1.%2.%3.%4.%5.%6.%7.%8.%9"/>
      <w:lvlJc w:val="left"/>
      <w:pPr>
        <w:tabs>
          <w:tab w:val="left" w:pos="907"/>
        </w:tabs>
        <w:ind w:left="907" w:hanging="907"/>
      </w:pPr>
      <w:rPr>
        <w:rFonts w:hint="eastAsia"/>
      </w:rPr>
    </w:lvl>
  </w:abstractNum>
  <w:num w:numId="1">
    <w:abstractNumId w:val="11"/>
  </w:num>
  <w:num w:numId="2">
    <w:abstractNumId w:val="3"/>
  </w:num>
  <w:num w:numId="3">
    <w:abstractNumId w:val="5"/>
  </w:num>
  <w:num w:numId="4">
    <w:abstractNumId w:val="8"/>
  </w:num>
  <w:num w:numId="5">
    <w:abstractNumId w:val="9"/>
  </w:num>
  <w:num w:numId="6">
    <w:abstractNumId w:val="6"/>
  </w:num>
  <w:num w:numId="7">
    <w:abstractNumId w:val="2"/>
  </w:num>
  <w:num w:numId="8">
    <w:abstractNumId w:val="7"/>
  </w:num>
  <w:num w:numId="9">
    <w:abstractNumId w:val="4"/>
  </w:num>
  <w:num w:numId="10">
    <w:abstractNumId w:val="1"/>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c3YTY3MzE4YjdhNWJmMWQ2NzRmNzQ1YTg5MjRhMGMifQ=="/>
  </w:docVars>
  <w:rsids>
    <w:rsidRoot w:val="00172A27"/>
    <w:rsid w:val="00000179"/>
    <w:rsid w:val="00000E62"/>
    <w:rsid w:val="0000133B"/>
    <w:rsid w:val="00001372"/>
    <w:rsid w:val="00001540"/>
    <w:rsid w:val="00001C48"/>
    <w:rsid w:val="00002200"/>
    <w:rsid w:val="0000230C"/>
    <w:rsid w:val="00002E2F"/>
    <w:rsid w:val="00002EA6"/>
    <w:rsid w:val="00003F97"/>
    <w:rsid w:val="0000402E"/>
    <w:rsid w:val="000041F5"/>
    <w:rsid w:val="000042A0"/>
    <w:rsid w:val="00004D50"/>
    <w:rsid w:val="00004E13"/>
    <w:rsid w:val="00004EAA"/>
    <w:rsid w:val="00004EBA"/>
    <w:rsid w:val="00005A35"/>
    <w:rsid w:val="00006775"/>
    <w:rsid w:val="00006B7E"/>
    <w:rsid w:val="00007191"/>
    <w:rsid w:val="00007542"/>
    <w:rsid w:val="00007F9C"/>
    <w:rsid w:val="00010373"/>
    <w:rsid w:val="0001041C"/>
    <w:rsid w:val="000105BD"/>
    <w:rsid w:val="0001141A"/>
    <w:rsid w:val="000117C5"/>
    <w:rsid w:val="00011979"/>
    <w:rsid w:val="00012484"/>
    <w:rsid w:val="00012807"/>
    <w:rsid w:val="00013487"/>
    <w:rsid w:val="000137C0"/>
    <w:rsid w:val="00013878"/>
    <w:rsid w:val="00013C75"/>
    <w:rsid w:val="00013C8C"/>
    <w:rsid w:val="00013D6A"/>
    <w:rsid w:val="00014496"/>
    <w:rsid w:val="000149A7"/>
    <w:rsid w:val="000149FE"/>
    <w:rsid w:val="00014C30"/>
    <w:rsid w:val="00014EF8"/>
    <w:rsid w:val="00014EF9"/>
    <w:rsid w:val="00015155"/>
    <w:rsid w:val="00015461"/>
    <w:rsid w:val="000162A7"/>
    <w:rsid w:val="0001676A"/>
    <w:rsid w:val="00016A82"/>
    <w:rsid w:val="00017DAE"/>
    <w:rsid w:val="00020391"/>
    <w:rsid w:val="0002052D"/>
    <w:rsid w:val="00020FC3"/>
    <w:rsid w:val="000211F7"/>
    <w:rsid w:val="000219A4"/>
    <w:rsid w:val="000221B2"/>
    <w:rsid w:val="00022986"/>
    <w:rsid w:val="00022DA1"/>
    <w:rsid w:val="0002316B"/>
    <w:rsid w:val="000232A9"/>
    <w:rsid w:val="00023434"/>
    <w:rsid w:val="00023448"/>
    <w:rsid w:val="0002361F"/>
    <w:rsid w:val="000236C1"/>
    <w:rsid w:val="00023E4F"/>
    <w:rsid w:val="00024811"/>
    <w:rsid w:val="00024BC5"/>
    <w:rsid w:val="00024D92"/>
    <w:rsid w:val="00025319"/>
    <w:rsid w:val="00025343"/>
    <w:rsid w:val="00025380"/>
    <w:rsid w:val="0002545B"/>
    <w:rsid w:val="00025BF3"/>
    <w:rsid w:val="00025D26"/>
    <w:rsid w:val="00025D47"/>
    <w:rsid w:val="00026742"/>
    <w:rsid w:val="00026CC1"/>
    <w:rsid w:val="00026E07"/>
    <w:rsid w:val="000271CA"/>
    <w:rsid w:val="00027536"/>
    <w:rsid w:val="000275CB"/>
    <w:rsid w:val="0002773F"/>
    <w:rsid w:val="00027989"/>
    <w:rsid w:val="0003066B"/>
    <w:rsid w:val="00030BCF"/>
    <w:rsid w:val="0003112E"/>
    <w:rsid w:val="0003114D"/>
    <w:rsid w:val="0003167D"/>
    <w:rsid w:val="0003172E"/>
    <w:rsid w:val="00032220"/>
    <w:rsid w:val="000323E3"/>
    <w:rsid w:val="00032631"/>
    <w:rsid w:val="0003271B"/>
    <w:rsid w:val="00032C38"/>
    <w:rsid w:val="00032E42"/>
    <w:rsid w:val="00033227"/>
    <w:rsid w:val="00033309"/>
    <w:rsid w:val="000343F3"/>
    <w:rsid w:val="00035F3C"/>
    <w:rsid w:val="000361E5"/>
    <w:rsid w:val="000364EC"/>
    <w:rsid w:val="00036998"/>
    <w:rsid w:val="00036A1B"/>
    <w:rsid w:val="00036D48"/>
    <w:rsid w:val="000374C6"/>
    <w:rsid w:val="000375C1"/>
    <w:rsid w:val="00037728"/>
    <w:rsid w:val="0003792B"/>
    <w:rsid w:val="00037FF8"/>
    <w:rsid w:val="00040115"/>
    <w:rsid w:val="000404A9"/>
    <w:rsid w:val="000409D0"/>
    <w:rsid w:val="00041007"/>
    <w:rsid w:val="000419DC"/>
    <w:rsid w:val="00041D84"/>
    <w:rsid w:val="000420D1"/>
    <w:rsid w:val="00042348"/>
    <w:rsid w:val="00042832"/>
    <w:rsid w:val="00042C5C"/>
    <w:rsid w:val="000437E6"/>
    <w:rsid w:val="00043B8E"/>
    <w:rsid w:val="00043BA1"/>
    <w:rsid w:val="00043CE2"/>
    <w:rsid w:val="000440F4"/>
    <w:rsid w:val="000442FF"/>
    <w:rsid w:val="00044CF3"/>
    <w:rsid w:val="00044EE4"/>
    <w:rsid w:val="000450A6"/>
    <w:rsid w:val="00045621"/>
    <w:rsid w:val="00045828"/>
    <w:rsid w:val="000459DD"/>
    <w:rsid w:val="00045A45"/>
    <w:rsid w:val="0004609A"/>
    <w:rsid w:val="00046183"/>
    <w:rsid w:val="000467A6"/>
    <w:rsid w:val="00046961"/>
    <w:rsid w:val="0004696C"/>
    <w:rsid w:val="00046B19"/>
    <w:rsid w:val="00046C30"/>
    <w:rsid w:val="00047473"/>
    <w:rsid w:val="00047687"/>
    <w:rsid w:val="000476F2"/>
    <w:rsid w:val="000478E0"/>
    <w:rsid w:val="0005017C"/>
    <w:rsid w:val="00050FCE"/>
    <w:rsid w:val="000515DB"/>
    <w:rsid w:val="000517B3"/>
    <w:rsid w:val="00052D92"/>
    <w:rsid w:val="00052F96"/>
    <w:rsid w:val="0005340B"/>
    <w:rsid w:val="0005356A"/>
    <w:rsid w:val="00053EB8"/>
    <w:rsid w:val="000542DC"/>
    <w:rsid w:val="00054689"/>
    <w:rsid w:val="00054AA8"/>
    <w:rsid w:val="00054D1F"/>
    <w:rsid w:val="00054E1C"/>
    <w:rsid w:val="00054FE0"/>
    <w:rsid w:val="0005552D"/>
    <w:rsid w:val="000556E7"/>
    <w:rsid w:val="00055CE2"/>
    <w:rsid w:val="00055F73"/>
    <w:rsid w:val="0005652F"/>
    <w:rsid w:val="00056959"/>
    <w:rsid w:val="00056EA1"/>
    <w:rsid w:val="000575C3"/>
    <w:rsid w:val="00057710"/>
    <w:rsid w:val="00057718"/>
    <w:rsid w:val="00057C4B"/>
    <w:rsid w:val="00057F49"/>
    <w:rsid w:val="00060A36"/>
    <w:rsid w:val="00060A84"/>
    <w:rsid w:val="00061964"/>
    <w:rsid w:val="00061BD3"/>
    <w:rsid w:val="00061E7C"/>
    <w:rsid w:val="00061FAB"/>
    <w:rsid w:val="00061FCE"/>
    <w:rsid w:val="00062012"/>
    <w:rsid w:val="00062138"/>
    <w:rsid w:val="00062194"/>
    <w:rsid w:val="00062742"/>
    <w:rsid w:val="0006296C"/>
    <w:rsid w:val="00063530"/>
    <w:rsid w:val="00063C2D"/>
    <w:rsid w:val="00063E9D"/>
    <w:rsid w:val="00063F7A"/>
    <w:rsid w:val="00064A6B"/>
    <w:rsid w:val="00064B53"/>
    <w:rsid w:val="00064BCB"/>
    <w:rsid w:val="000653A5"/>
    <w:rsid w:val="000655BB"/>
    <w:rsid w:val="000659A9"/>
    <w:rsid w:val="00065FEA"/>
    <w:rsid w:val="0006672E"/>
    <w:rsid w:val="00066A04"/>
    <w:rsid w:val="00066F15"/>
    <w:rsid w:val="00067423"/>
    <w:rsid w:val="00067999"/>
    <w:rsid w:val="00067D7D"/>
    <w:rsid w:val="00067FE6"/>
    <w:rsid w:val="0007003A"/>
    <w:rsid w:val="00070183"/>
    <w:rsid w:val="0007033F"/>
    <w:rsid w:val="0007072A"/>
    <w:rsid w:val="00070914"/>
    <w:rsid w:val="00071345"/>
    <w:rsid w:val="00071468"/>
    <w:rsid w:val="00071482"/>
    <w:rsid w:val="000718E2"/>
    <w:rsid w:val="00071A2E"/>
    <w:rsid w:val="00071AE0"/>
    <w:rsid w:val="00071B28"/>
    <w:rsid w:val="00071D73"/>
    <w:rsid w:val="00071EF6"/>
    <w:rsid w:val="0007253B"/>
    <w:rsid w:val="00072AFB"/>
    <w:rsid w:val="00072B6D"/>
    <w:rsid w:val="00072F98"/>
    <w:rsid w:val="000730FE"/>
    <w:rsid w:val="00073232"/>
    <w:rsid w:val="000737E9"/>
    <w:rsid w:val="00073868"/>
    <w:rsid w:val="00073BC9"/>
    <w:rsid w:val="00073D77"/>
    <w:rsid w:val="00073E5B"/>
    <w:rsid w:val="00074298"/>
    <w:rsid w:val="000749B6"/>
    <w:rsid w:val="00074A38"/>
    <w:rsid w:val="00074B33"/>
    <w:rsid w:val="0007518A"/>
    <w:rsid w:val="000754F6"/>
    <w:rsid w:val="00075838"/>
    <w:rsid w:val="00075C66"/>
    <w:rsid w:val="00076753"/>
    <w:rsid w:val="00076A17"/>
    <w:rsid w:val="00076AD1"/>
    <w:rsid w:val="00076CC6"/>
    <w:rsid w:val="00076F0D"/>
    <w:rsid w:val="00077344"/>
    <w:rsid w:val="0007746F"/>
    <w:rsid w:val="00077705"/>
    <w:rsid w:val="000800EC"/>
    <w:rsid w:val="0008017D"/>
    <w:rsid w:val="000801FF"/>
    <w:rsid w:val="0008059F"/>
    <w:rsid w:val="00080BD4"/>
    <w:rsid w:val="00080FA8"/>
    <w:rsid w:val="00081111"/>
    <w:rsid w:val="0008175B"/>
    <w:rsid w:val="000818DE"/>
    <w:rsid w:val="00081C27"/>
    <w:rsid w:val="00081D64"/>
    <w:rsid w:val="00081F4F"/>
    <w:rsid w:val="0008224E"/>
    <w:rsid w:val="000825BD"/>
    <w:rsid w:val="00082ABA"/>
    <w:rsid w:val="00082D60"/>
    <w:rsid w:val="00082FAD"/>
    <w:rsid w:val="000831D1"/>
    <w:rsid w:val="00083C95"/>
    <w:rsid w:val="000840B6"/>
    <w:rsid w:val="000840C9"/>
    <w:rsid w:val="00084468"/>
    <w:rsid w:val="000849B2"/>
    <w:rsid w:val="00084E06"/>
    <w:rsid w:val="00085150"/>
    <w:rsid w:val="00085382"/>
    <w:rsid w:val="00085ECF"/>
    <w:rsid w:val="000869A1"/>
    <w:rsid w:val="00086B3C"/>
    <w:rsid w:val="00086D2C"/>
    <w:rsid w:val="00087405"/>
    <w:rsid w:val="0008787A"/>
    <w:rsid w:val="00087C3B"/>
    <w:rsid w:val="00087C8A"/>
    <w:rsid w:val="00087D3E"/>
    <w:rsid w:val="00090211"/>
    <w:rsid w:val="000905E1"/>
    <w:rsid w:val="00090B7D"/>
    <w:rsid w:val="00090C5E"/>
    <w:rsid w:val="00090CCB"/>
    <w:rsid w:val="00090D09"/>
    <w:rsid w:val="0009150A"/>
    <w:rsid w:val="0009174D"/>
    <w:rsid w:val="00091C53"/>
    <w:rsid w:val="00092309"/>
    <w:rsid w:val="0009235B"/>
    <w:rsid w:val="000923AE"/>
    <w:rsid w:val="0009245D"/>
    <w:rsid w:val="00092938"/>
    <w:rsid w:val="0009296D"/>
    <w:rsid w:val="00092B00"/>
    <w:rsid w:val="00092C3E"/>
    <w:rsid w:val="00092C98"/>
    <w:rsid w:val="000931E5"/>
    <w:rsid w:val="00093253"/>
    <w:rsid w:val="0009337C"/>
    <w:rsid w:val="000937A1"/>
    <w:rsid w:val="00093830"/>
    <w:rsid w:val="00093843"/>
    <w:rsid w:val="0009390E"/>
    <w:rsid w:val="00093A3F"/>
    <w:rsid w:val="00093D3E"/>
    <w:rsid w:val="00093EC4"/>
    <w:rsid w:val="00094695"/>
    <w:rsid w:val="0009473C"/>
    <w:rsid w:val="00094F51"/>
    <w:rsid w:val="0009510F"/>
    <w:rsid w:val="000954CC"/>
    <w:rsid w:val="000958C9"/>
    <w:rsid w:val="000965C2"/>
    <w:rsid w:val="0009681B"/>
    <w:rsid w:val="00096CF5"/>
    <w:rsid w:val="00096EA7"/>
    <w:rsid w:val="000977AE"/>
    <w:rsid w:val="000A01C4"/>
    <w:rsid w:val="000A0D44"/>
    <w:rsid w:val="000A0E7B"/>
    <w:rsid w:val="000A0F2F"/>
    <w:rsid w:val="000A126C"/>
    <w:rsid w:val="000A182F"/>
    <w:rsid w:val="000A1A36"/>
    <w:rsid w:val="000A1F33"/>
    <w:rsid w:val="000A22FC"/>
    <w:rsid w:val="000A252D"/>
    <w:rsid w:val="000A2A1E"/>
    <w:rsid w:val="000A3585"/>
    <w:rsid w:val="000A374F"/>
    <w:rsid w:val="000A3C80"/>
    <w:rsid w:val="000A3D37"/>
    <w:rsid w:val="000A43F3"/>
    <w:rsid w:val="000A450E"/>
    <w:rsid w:val="000A4672"/>
    <w:rsid w:val="000A486A"/>
    <w:rsid w:val="000A4AF3"/>
    <w:rsid w:val="000A4B06"/>
    <w:rsid w:val="000A4BFF"/>
    <w:rsid w:val="000A4E81"/>
    <w:rsid w:val="000A527B"/>
    <w:rsid w:val="000A52FE"/>
    <w:rsid w:val="000A59B6"/>
    <w:rsid w:val="000A5BA9"/>
    <w:rsid w:val="000A5F5D"/>
    <w:rsid w:val="000A5FE0"/>
    <w:rsid w:val="000A6195"/>
    <w:rsid w:val="000A6512"/>
    <w:rsid w:val="000A6577"/>
    <w:rsid w:val="000A7048"/>
    <w:rsid w:val="000A7237"/>
    <w:rsid w:val="000A737D"/>
    <w:rsid w:val="000A7614"/>
    <w:rsid w:val="000A7C04"/>
    <w:rsid w:val="000B04BE"/>
    <w:rsid w:val="000B05F0"/>
    <w:rsid w:val="000B08D8"/>
    <w:rsid w:val="000B0A97"/>
    <w:rsid w:val="000B1070"/>
    <w:rsid w:val="000B164F"/>
    <w:rsid w:val="000B1B10"/>
    <w:rsid w:val="000B1FA9"/>
    <w:rsid w:val="000B2328"/>
    <w:rsid w:val="000B270B"/>
    <w:rsid w:val="000B2B0C"/>
    <w:rsid w:val="000B2E7A"/>
    <w:rsid w:val="000B2F31"/>
    <w:rsid w:val="000B2F73"/>
    <w:rsid w:val="000B308D"/>
    <w:rsid w:val="000B3224"/>
    <w:rsid w:val="000B379D"/>
    <w:rsid w:val="000B3B2A"/>
    <w:rsid w:val="000B407B"/>
    <w:rsid w:val="000B43E3"/>
    <w:rsid w:val="000B4429"/>
    <w:rsid w:val="000B490F"/>
    <w:rsid w:val="000B4FA4"/>
    <w:rsid w:val="000B52C6"/>
    <w:rsid w:val="000B533A"/>
    <w:rsid w:val="000B5BF8"/>
    <w:rsid w:val="000B65C9"/>
    <w:rsid w:val="000B6665"/>
    <w:rsid w:val="000B68A0"/>
    <w:rsid w:val="000B68BD"/>
    <w:rsid w:val="000B707D"/>
    <w:rsid w:val="000B7264"/>
    <w:rsid w:val="000B75AE"/>
    <w:rsid w:val="000B75FF"/>
    <w:rsid w:val="000B7DE7"/>
    <w:rsid w:val="000C08CE"/>
    <w:rsid w:val="000C0BA4"/>
    <w:rsid w:val="000C13A9"/>
    <w:rsid w:val="000C249A"/>
    <w:rsid w:val="000C2CFA"/>
    <w:rsid w:val="000C2DB7"/>
    <w:rsid w:val="000C300E"/>
    <w:rsid w:val="000C3367"/>
    <w:rsid w:val="000C33B4"/>
    <w:rsid w:val="000C39B1"/>
    <w:rsid w:val="000C3CBB"/>
    <w:rsid w:val="000C4466"/>
    <w:rsid w:val="000C47E4"/>
    <w:rsid w:val="000C4873"/>
    <w:rsid w:val="000C515F"/>
    <w:rsid w:val="000C51B3"/>
    <w:rsid w:val="000C57C0"/>
    <w:rsid w:val="000C5FB2"/>
    <w:rsid w:val="000C6708"/>
    <w:rsid w:val="000C6817"/>
    <w:rsid w:val="000C7693"/>
    <w:rsid w:val="000C771C"/>
    <w:rsid w:val="000C77AA"/>
    <w:rsid w:val="000C7C89"/>
    <w:rsid w:val="000C7CF0"/>
    <w:rsid w:val="000D03FF"/>
    <w:rsid w:val="000D0417"/>
    <w:rsid w:val="000D04A1"/>
    <w:rsid w:val="000D07B0"/>
    <w:rsid w:val="000D16AD"/>
    <w:rsid w:val="000D1DBE"/>
    <w:rsid w:val="000D22A0"/>
    <w:rsid w:val="000D2D96"/>
    <w:rsid w:val="000D32AE"/>
    <w:rsid w:val="000D38B3"/>
    <w:rsid w:val="000D39A8"/>
    <w:rsid w:val="000D4F90"/>
    <w:rsid w:val="000D4FD4"/>
    <w:rsid w:val="000D500A"/>
    <w:rsid w:val="000D54E4"/>
    <w:rsid w:val="000D664D"/>
    <w:rsid w:val="000D6778"/>
    <w:rsid w:val="000D6915"/>
    <w:rsid w:val="000D6929"/>
    <w:rsid w:val="000D6C55"/>
    <w:rsid w:val="000D701D"/>
    <w:rsid w:val="000D7BF7"/>
    <w:rsid w:val="000D7E17"/>
    <w:rsid w:val="000D7F0A"/>
    <w:rsid w:val="000E0282"/>
    <w:rsid w:val="000E069E"/>
    <w:rsid w:val="000E08E6"/>
    <w:rsid w:val="000E0ACF"/>
    <w:rsid w:val="000E0B91"/>
    <w:rsid w:val="000E0E7D"/>
    <w:rsid w:val="000E11FC"/>
    <w:rsid w:val="000E13FB"/>
    <w:rsid w:val="000E19FA"/>
    <w:rsid w:val="000E28A7"/>
    <w:rsid w:val="000E2D30"/>
    <w:rsid w:val="000E2EDA"/>
    <w:rsid w:val="000E328C"/>
    <w:rsid w:val="000E3336"/>
    <w:rsid w:val="000E3580"/>
    <w:rsid w:val="000E3911"/>
    <w:rsid w:val="000E3B57"/>
    <w:rsid w:val="000E3DFA"/>
    <w:rsid w:val="000E40AB"/>
    <w:rsid w:val="000E4228"/>
    <w:rsid w:val="000E4688"/>
    <w:rsid w:val="000E479A"/>
    <w:rsid w:val="000E4DC2"/>
    <w:rsid w:val="000E4E57"/>
    <w:rsid w:val="000E5280"/>
    <w:rsid w:val="000E5622"/>
    <w:rsid w:val="000E5656"/>
    <w:rsid w:val="000E5837"/>
    <w:rsid w:val="000E6814"/>
    <w:rsid w:val="000E6A7C"/>
    <w:rsid w:val="000E6C09"/>
    <w:rsid w:val="000E7163"/>
    <w:rsid w:val="000E73F3"/>
    <w:rsid w:val="000F005F"/>
    <w:rsid w:val="000F0095"/>
    <w:rsid w:val="000F025C"/>
    <w:rsid w:val="000F051C"/>
    <w:rsid w:val="000F0939"/>
    <w:rsid w:val="000F0C61"/>
    <w:rsid w:val="000F1003"/>
    <w:rsid w:val="000F167A"/>
    <w:rsid w:val="000F1AE9"/>
    <w:rsid w:val="000F3004"/>
    <w:rsid w:val="000F30E6"/>
    <w:rsid w:val="000F3283"/>
    <w:rsid w:val="000F35B9"/>
    <w:rsid w:val="000F3B27"/>
    <w:rsid w:val="000F4278"/>
    <w:rsid w:val="000F455D"/>
    <w:rsid w:val="000F47FF"/>
    <w:rsid w:val="000F4C83"/>
    <w:rsid w:val="000F5167"/>
    <w:rsid w:val="000F5E12"/>
    <w:rsid w:val="000F645B"/>
    <w:rsid w:val="000F75F3"/>
    <w:rsid w:val="000F7623"/>
    <w:rsid w:val="000F762C"/>
    <w:rsid w:val="000F7A93"/>
    <w:rsid w:val="001002C2"/>
    <w:rsid w:val="0010046C"/>
    <w:rsid w:val="0010095D"/>
    <w:rsid w:val="0010112E"/>
    <w:rsid w:val="0010128F"/>
    <w:rsid w:val="00101350"/>
    <w:rsid w:val="0010138F"/>
    <w:rsid w:val="00101472"/>
    <w:rsid w:val="001021C8"/>
    <w:rsid w:val="001024EE"/>
    <w:rsid w:val="00103262"/>
    <w:rsid w:val="001032AE"/>
    <w:rsid w:val="00103774"/>
    <w:rsid w:val="00103808"/>
    <w:rsid w:val="00103938"/>
    <w:rsid w:val="00103CEB"/>
    <w:rsid w:val="00103D3E"/>
    <w:rsid w:val="001040AF"/>
    <w:rsid w:val="001045A0"/>
    <w:rsid w:val="0010504D"/>
    <w:rsid w:val="00105A4D"/>
    <w:rsid w:val="00105EB0"/>
    <w:rsid w:val="00106D0A"/>
    <w:rsid w:val="00107524"/>
    <w:rsid w:val="0010788B"/>
    <w:rsid w:val="00107D83"/>
    <w:rsid w:val="0011043B"/>
    <w:rsid w:val="00110698"/>
    <w:rsid w:val="0011087C"/>
    <w:rsid w:val="0011165F"/>
    <w:rsid w:val="00111B6F"/>
    <w:rsid w:val="00111B97"/>
    <w:rsid w:val="00111D69"/>
    <w:rsid w:val="00111F3E"/>
    <w:rsid w:val="00112130"/>
    <w:rsid w:val="00112582"/>
    <w:rsid w:val="001125BD"/>
    <w:rsid w:val="00112CB4"/>
    <w:rsid w:val="001131E2"/>
    <w:rsid w:val="001132FF"/>
    <w:rsid w:val="00113B87"/>
    <w:rsid w:val="00113E4E"/>
    <w:rsid w:val="00113EB7"/>
    <w:rsid w:val="00114487"/>
    <w:rsid w:val="00114521"/>
    <w:rsid w:val="001146FD"/>
    <w:rsid w:val="00114A64"/>
    <w:rsid w:val="00114D03"/>
    <w:rsid w:val="001150C5"/>
    <w:rsid w:val="00115126"/>
    <w:rsid w:val="00115511"/>
    <w:rsid w:val="001155B5"/>
    <w:rsid w:val="00115D84"/>
    <w:rsid w:val="001160E4"/>
    <w:rsid w:val="001164B5"/>
    <w:rsid w:val="001164D9"/>
    <w:rsid w:val="00116B7F"/>
    <w:rsid w:val="00116E2A"/>
    <w:rsid w:val="001175B6"/>
    <w:rsid w:val="00120CE9"/>
    <w:rsid w:val="00120D60"/>
    <w:rsid w:val="00120F6A"/>
    <w:rsid w:val="001211A6"/>
    <w:rsid w:val="001217E3"/>
    <w:rsid w:val="00121F35"/>
    <w:rsid w:val="00122060"/>
    <w:rsid w:val="001220D5"/>
    <w:rsid w:val="0012214C"/>
    <w:rsid w:val="001221E7"/>
    <w:rsid w:val="00122528"/>
    <w:rsid w:val="00122DED"/>
    <w:rsid w:val="00123AE2"/>
    <w:rsid w:val="00123F23"/>
    <w:rsid w:val="00123FE9"/>
    <w:rsid w:val="00124515"/>
    <w:rsid w:val="00124571"/>
    <w:rsid w:val="00124A41"/>
    <w:rsid w:val="00124DF4"/>
    <w:rsid w:val="001252D6"/>
    <w:rsid w:val="00125497"/>
    <w:rsid w:val="0012578C"/>
    <w:rsid w:val="00125A01"/>
    <w:rsid w:val="00126146"/>
    <w:rsid w:val="001267D5"/>
    <w:rsid w:val="00126882"/>
    <w:rsid w:val="00126E04"/>
    <w:rsid w:val="00127865"/>
    <w:rsid w:val="00127FFB"/>
    <w:rsid w:val="00130142"/>
    <w:rsid w:val="001305B6"/>
    <w:rsid w:val="001309CB"/>
    <w:rsid w:val="00130E74"/>
    <w:rsid w:val="00131129"/>
    <w:rsid w:val="00131201"/>
    <w:rsid w:val="00131EF6"/>
    <w:rsid w:val="00131FF8"/>
    <w:rsid w:val="0013237E"/>
    <w:rsid w:val="00132F2A"/>
    <w:rsid w:val="00132FC1"/>
    <w:rsid w:val="00133047"/>
    <w:rsid w:val="00133415"/>
    <w:rsid w:val="001338EE"/>
    <w:rsid w:val="001338F6"/>
    <w:rsid w:val="00133D0B"/>
    <w:rsid w:val="001347CB"/>
    <w:rsid w:val="00134A0F"/>
    <w:rsid w:val="00134E27"/>
    <w:rsid w:val="00135017"/>
    <w:rsid w:val="0013514D"/>
    <w:rsid w:val="00135B72"/>
    <w:rsid w:val="00135C40"/>
    <w:rsid w:val="00136BAE"/>
    <w:rsid w:val="00136F7E"/>
    <w:rsid w:val="0013763B"/>
    <w:rsid w:val="0014075E"/>
    <w:rsid w:val="001408C6"/>
    <w:rsid w:val="001409AB"/>
    <w:rsid w:val="001409AE"/>
    <w:rsid w:val="00140CFB"/>
    <w:rsid w:val="00140E6D"/>
    <w:rsid w:val="00141269"/>
    <w:rsid w:val="001413D8"/>
    <w:rsid w:val="00141D7F"/>
    <w:rsid w:val="00141D9F"/>
    <w:rsid w:val="00141F52"/>
    <w:rsid w:val="001423AE"/>
    <w:rsid w:val="00142411"/>
    <w:rsid w:val="001424DF"/>
    <w:rsid w:val="001425FC"/>
    <w:rsid w:val="001426B8"/>
    <w:rsid w:val="00142AF5"/>
    <w:rsid w:val="00142D64"/>
    <w:rsid w:val="00143389"/>
    <w:rsid w:val="0014379E"/>
    <w:rsid w:val="00143BF3"/>
    <w:rsid w:val="00143F40"/>
    <w:rsid w:val="0014432D"/>
    <w:rsid w:val="00144666"/>
    <w:rsid w:val="0014577D"/>
    <w:rsid w:val="001458DF"/>
    <w:rsid w:val="00145F12"/>
    <w:rsid w:val="001470AB"/>
    <w:rsid w:val="001475D8"/>
    <w:rsid w:val="0014769D"/>
    <w:rsid w:val="001477D3"/>
    <w:rsid w:val="001478DA"/>
    <w:rsid w:val="0014796B"/>
    <w:rsid w:val="001501F7"/>
    <w:rsid w:val="0015021F"/>
    <w:rsid w:val="001504DD"/>
    <w:rsid w:val="001504F8"/>
    <w:rsid w:val="0015129C"/>
    <w:rsid w:val="0015154A"/>
    <w:rsid w:val="00151AC0"/>
    <w:rsid w:val="00151D59"/>
    <w:rsid w:val="00151E59"/>
    <w:rsid w:val="00152212"/>
    <w:rsid w:val="0015239C"/>
    <w:rsid w:val="0015271B"/>
    <w:rsid w:val="00152E0F"/>
    <w:rsid w:val="0015335D"/>
    <w:rsid w:val="0015371A"/>
    <w:rsid w:val="00153855"/>
    <w:rsid w:val="00153904"/>
    <w:rsid w:val="00153ACD"/>
    <w:rsid w:val="00154284"/>
    <w:rsid w:val="00154F2F"/>
    <w:rsid w:val="00154FB9"/>
    <w:rsid w:val="0015522F"/>
    <w:rsid w:val="00155416"/>
    <w:rsid w:val="0015580C"/>
    <w:rsid w:val="00155CB8"/>
    <w:rsid w:val="001564A1"/>
    <w:rsid w:val="001566D2"/>
    <w:rsid w:val="0015682D"/>
    <w:rsid w:val="001569F4"/>
    <w:rsid w:val="00156CF7"/>
    <w:rsid w:val="001570B3"/>
    <w:rsid w:val="001575A4"/>
    <w:rsid w:val="001575B1"/>
    <w:rsid w:val="00157899"/>
    <w:rsid w:val="001579FA"/>
    <w:rsid w:val="00157D26"/>
    <w:rsid w:val="0016013B"/>
    <w:rsid w:val="00160152"/>
    <w:rsid w:val="001602A4"/>
    <w:rsid w:val="0016056A"/>
    <w:rsid w:val="00160580"/>
    <w:rsid w:val="00160BF1"/>
    <w:rsid w:val="00160DAA"/>
    <w:rsid w:val="00160F2A"/>
    <w:rsid w:val="00161095"/>
    <w:rsid w:val="00161153"/>
    <w:rsid w:val="001614FC"/>
    <w:rsid w:val="00161853"/>
    <w:rsid w:val="00161997"/>
    <w:rsid w:val="00162F8C"/>
    <w:rsid w:val="00162F8E"/>
    <w:rsid w:val="001634DF"/>
    <w:rsid w:val="00163A6D"/>
    <w:rsid w:val="00163CEB"/>
    <w:rsid w:val="00164145"/>
    <w:rsid w:val="00164209"/>
    <w:rsid w:val="00165284"/>
    <w:rsid w:val="0016563D"/>
    <w:rsid w:val="00165E05"/>
    <w:rsid w:val="00165F12"/>
    <w:rsid w:val="00166562"/>
    <w:rsid w:val="001666FF"/>
    <w:rsid w:val="00166F2E"/>
    <w:rsid w:val="00167730"/>
    <w:rsid w:val="00167D57"/>
    <w:rsid w:val="001701E4"/>
    <w:rsid w:val="00170CFE"/>
    <w:rsid w:val="00170FA4"/>
    <w:rsid w:val="00171020"/>
    <w:rsid w:val="001711A3"/>
    <w:rsid w:val="001716D9"/>
    <w:rsid w:val="001723BD"/>
    <w:rsid w:val="00172588"/>
    <w:rsid w:val="00172A27"/>
    <w:rsid w:val="00172B95"/>
    <w:rsid w:val="00172CBB"/>
    <w:rsid w:val="001736A1"/>
    <w:rsid w:val="001739C2"/>
    <w:rsid w:val="00173BC0"/>
    <w:rsid w:val="00173F8D"/>
    <w:rsid w:val="001741EF"/>
    <w:rsid w:val="00174A05"/>
    <w:rsid w:val="00174BDA"/>
    <w:rsid w:val="00174C3F"/>
    <w:rsid w:val="00175DCE"/>
    <w:rsid w:val="0017631C"/>
    <w:rsid w:val="00176EFF"/>
    <w:rsid w:val="001772BC"/>
    <w:rsid w:val="00177503"/>
    <w:rsid w:val="00180001"/>
    <w:rsid w:val="001802A6"/>
    <w:rsid w:val="00180949"/>
    <w:rsid w:val="00180AA9"/>
    <w:rsid w:val="00180DE1"/>
    <w:rsid w:val="00180E36"/>
    <w:rsid w:val="00181031"/>
    <w:rsid w:val="00181481"/>
    <w:rsid w:val="0018167A"/>
    <w:rsid w:val="00181B0E"/>
    <w:rsid w:val="00181EB7"/>
    <w:rsid w:val="00182A2A"/>
    <w:rsid w:val="00182C05"/>
    <w:rsid w:val="00182C79"/>
    <w:rsid w:val="00182E92"/>
    <w:rsid w:val="00183098"/>
    <w:rsid w:val="001833E2"/>
    <w:rsid w:val="001834FD"/>
    <w:rsid w:val="00183598"/>
    <w:rsid w:val="001835E6"/>
    <w:rsid w:val="00183AD7"/>
    <w:rsid w:val="00183D15"/>
    <w:rsid w:val="0018438B"/>
    <w:rsid w:val="00184399"/>
    <w:rsid w:val="001847D0"/>
    <w:rsid w:val="00184BB2"/>
    <w:rsid w:val="00184E3F"/>
    <w:rsid w:val="00184F26"/>
    <w:rsid w:val="0018513C"/>
    <w:rsid w:val="00185229"/>
    <w:rsid w:val="0018570C"/>
    <w:rsid w:val="0018571C"/>
    <w:rsid w:val="00185C3F"/>
    <w:rsid w:val="00185DC8"/>
    <w:rsid w:val="00185F4E"/>
    <w:rsid w:val="00185F7D"/>
    <w:rsid w:val="00186516"/>
    <w:rsid w:val="00186B00"/>
    <w:rsid w:val="00187DF1"/>
    <w:rsid w:val="00190570"/>
    <w:rsid w:val="00190C76"/>
    <w:rsid w:val="001924A6"/>
    <w:rsid w:val="00192544"/>
    <w:rsid w:val="0019261F"/>
    <w:rsid w:val="001926E3"/>
    <w:rsid w:val="00193317"/>
    <w:rsid w:val="00193596"/>
    <w:rsid w:val="00193B2D"/>
    <w:rsid w:val="00194A41"/>
    <w:rsid w:val="001956A1"/>
    <w:rsid w:val="00195774"/>
    <w:rsid w:val="0019580A"/>
    <w:rsid w:val="001961CC"/>
    <w:rsid w:val="00196525"/>
    <w:rsid w:val="00196574"/>
    <w:rsid w:val="0019669D"/>
    <w:rsid w:val="00196A0D"/>
    <w:rsid w:val="0019732A"/>
    <w:rsid w:val="00197380"/>
    <w:rsid w:val="00197487"/>
    <w:rsid w:val="001975BD"/>
    <w:rsid w:val="00197C50"/>
    <w:rsid w:val="001A0193"/>
    <w:rsid w:val="001A1761"/>
    <w:rsid w:val="001A1E61"/>
    <w:rsid w:val="001A2B7F"/>
    <w:rsid w:val="001A2D39"/>
    <w:rsid w:val="001A2E1C"/>
    <w:rsid w:val="001A3752"/>
    <w:rsid w:val="001A402C"/>
    <w:rsid w:val="001A443C"/>
    <w:rsid w:val="001A4669"/>
    <w:rsid w:val="001A475C"/>
    <w:rsid w:val="001A481D"/>
    <w:rsid w:val="001A4A75"/>
    <w:rsid w:val="001A559D"/>
    <w:rsid w:val="001A6356"/>
    <w:rsid w:val="001A68AB"/>
    <w:rsid w:val="001A6B92"/>
    <w:rsid w:val="001A6E00"/>
    <w:rsid w:val="001A7194"/>
    <w:rsid w:val="001A7197"/>
    <w:rsid w:val="001A727D"/>
    <w:rsid w:val="001A7C50"/>
    <w:rsid w:val="001A7E88"/>
    <w:rsid w:val="001B06B3"/>
    <w:rsid w:val="001B12C9"/>
    <w:rsid w:val="001B1782"/>
    <w:rsid w:val="001B1C24"/>
    <w:rsid w:val="001B236F"/>
    <w:rsid w:val="001B3342"/>
    <w:rsid w:val="001B3718"/>
    <w:rsid w:val="001B375B"/>
    <w:rsid w:val="001B394E"/>
    <w:rsid w:val="001B4375"/>
    <w:rsid w:val="001B441E"/>
    <w:rsid w:val="001B44FC"/>
    <w:rsid w:val="001B4737"/>
    <w:rsid w:val="001B4876"/>
    <w:rsid w:val="001B48F8"/>
    <w:rsid w:val="001B5552"/>
    <w:rsid w:val="001B59AF"/>
    <w:rsid w:val="001B5AEC"/>
    <w:rsid w:val="001B5B38"/>
    <w:rsid w:val="001B5BE8"/>
    <w:rsid w:val="001B5F35"/>
    <w:rsid w:val="001B5F9E"/>
    <w:rsid w:val="001B66EA"/>
    <w:rsid w:val="001B6CF5"/>
    <w:rsid w:val="001B7A30"/>
    <w:rsid w:val="001B7EC7"/>
    <w:rsid w:val="001C107F"/>
    <w:rsid w:val="001C10D5"/>
    <w:rsid w:val="001C192F"/>
    <w:rsid w:val="001C1B40"/>
    <w:rsid w:val="001C1C7E"/>
    <w:rsid w:val="001C24D8"/>
    <w:rsid w:val="001C2899"/>
    <w:rsid w:val="001C2B2F"/>
    <w:rsid w:val="001C2CC4"/>
    <w:rsid w:val="001C39BD"/>
    <w:rsid w:val="001C3BD1"/>
    <w:rsid w:val="001C3D90"/>
    <w:rsid w:val="001C407D"/>
    <w:rsid w:val="001C4D40"/>
    <w:rsid w:val="001C55DA"/>
    <w:rsid w:val="001C5703"/>
    <w:rsid w:val="001C5B12"/>
    <w:rsid w:val="001C6A7C"/>
    <w:rsid w:val="001C70C6"/>
    <w:rsid w:val="001C70D0"/>
    <w:rsid w:val="001C7611"/>
    <w:rsid w:val="001D0219"/>
    <w:rsid w:val="001D055B"/>
    <w:rsid w:val="001D10B8"/>
    <w:rsid w:val="001D1762"/>
    <w:rsid w:val="001D1F8B"/>
    <w:rsid w:val="001D23DD"/>
    <w:rsid w:val="001D2441"/>
    <w:rsid w:val="001D28D6"/>
    <w:rsid w:val="001D28E7"/>
    <w:rsid w:val="001D2E88"/>
    <w:rsid w:val="001D2F43"/>
    <w:rsid w:val="001D31FE"/>
    <w:rsid w:val="001D32A7"/>
    <w:rsid w:val="001D3437"/>
    <w:rsid w:val="001D3687"/>
    <w:rsid w:val="001D3BAB"/>
    <w:rsid w:val="001D3E6B"/>
    <w:rsid w:val="001D465B"/>
    <w:rsid w:val="001D5509"/>
    <w:rsid w:val="001D59B2"/>
    <w:rsid w:val="001D5EF1"/>
    <w:rsid w:val="001D69B5"/>
    <w:rsid w:val="001D7651"/>
    <w:rsid w:val="001D79B3"/>
    <w:rsid w:val="001D7DD7"/>
    <w:rsid w:val="001E047D"/>
    <w:rsid w:val="001E063A"/>
    <w:rsid w:val="001E07FD"/>
    <w:rsid w:val="001E0A26"/>
    <w:rsid w:val="001E0A5D"/>
    <w:rsid w:val="001E0F54"/>
    <w:rsid w:val="001E11EF"/>
    <w:rsid w:val="001E1513"/>
    <w:rsid w:val="001E1AC7"/>
    <w:rsid w:val="001E1F1C"/>
    <w:rsid w:val="001E28F2"/>
    <w:rsid w:val="001E2D07"/>
    <w:rsid w:val="001E2F6A"/>
    <w:rsid w:val="001E2FB9"/>
    <w:rsid w:val="001E3625"/>
    <w:rsid w:val="001E3FE4"/>
    <w:rsid w:val="001E40E6"/>
    <w:rsid w:val="001E499D"/>
    <w:rsid w:val="001E4B09"/>
    <w:rsid w:val="001E4F30"/>
    <w:rsid w:val="001E6275"/>
    <w:rsid w:val="001E656E"/>
    <w:rsid w:val="001E67BE"/>
    <w:rsid w:val="001E6A31"/>
    <w:rsid w:val="001E6F59"/>
    <w:rsid w:val="001E7320"/>
    <w:rsid w:val="001E7434"/>
    <w:rsid w:val="001E76EC"/>
    <w:rsid w:val="001F0008"/>
    <w:rsid w:val="001F023B"/>
    <w:rsid w:val="001F0C1F"/>
    <w:rsid w:val="001F0D17"/>
    <w:rsid w:val="001F0FBE"/>
    <w:rsid w:val="001F0FC3"/>
    <w:rsid w:val="001F13EF"/>
    <w:rsid w:val="001F166D"/>
    <w:rsid w:val="001F1940"/>
    <w:rsid w:val="001F1C26"/>
    <w:rsid w:val="001F2493"/>
    <w:rsid w:val="001F2909"/>
    <w:rsid w:val="001F2C4C"/>
    <w:rsid w:val="001F3340"/>
    <w:rsid w:val="001F3FCE"/>
    <w:rsid w:val="001F4505"/>
    <w:rsid w:val="001F473E"/>
    <w:rsid w:val="001F4F2B"/>
    <w:rsid w:val="001F5257"/>
    <w:rsid w:val="001F530C"/>
    <w:rsid w:val="001F60DE"/>
    <w:rsid w:val="001F679D"/>
    <w:rsid w:val="001F6ADF"/>
    <w:rsid w:val="001F6C3A"/>
    <w:rsid w:val="001F6EF6"/>
    <w:rsid w:val="001F70A2"/>
    <w:rsid w:val="001F7200"/>
    <w:rsid w:val="001F77B6"/>
    <w:rsid w:val="001F7FEF"/>
    <w:rsid w:val="00200310"/>
    <w:rsid w:val="0020078D"/>
    <w:rsid w:val="00200B99"/>
    <w:rsid w:val="00202068"/>
    <w:rsid w:val="00202EC6"/>
    <w:rsid w:val="00203977"/>
    <w:rsid w:val="00203CE4"/>
    <w:rsid w:val="00203DCF"/>
    <w:rsid w:val="00203DDB"/>
    <w:rsid w:val="00204523"/>
    <w:rsid w:val="00204571"/>
    <w:rsid w:val="002046A9"/>
    <w:rsid w:val="00204CEF"/>
    <w:rsid w:val="00204FF7"/>
    <w:rsid w:val="00205220"/>
    <w:rsid w:val="0020540B"/>
    <w:rsid w:val="002054CB"/>
    <w:rsid w:val="0020556B"/>
    <w:rsid w:val="00205573"/>
    <w:rsid w:val="002059DA"/>
    <w:rsid w:val="00205C11"/>
    <w:rsid w:val="00205FC1"/>
    <w:rsid w:val="002066B3"/>
    <w:rsid w:val="00206786"/>
    <w:rsid w:val="00206802"/>
    <w:rsid w:val="00206D59"/>
    <w:rsid w:val="00206E75"/>
    <w:rsid w:val="00206E83"/>
    <w:rsid w:val="00206EF1"/>
    <w:rsid w:val="00206F32"/>
    <w:rsid w:val="00207256"/>
    <w:rsid w:val="002077F3"/>
    <w:rsid w:val="002077F5"/>
    <w:rsid w:val="0021046C"/>
    <w:rsid w:val="00211056"/>
    <w:rsid w:val="002112F1"/>
    <w:rsid w:val="00211C7B"/>
    <w:rsid w:val="00211D78"/>
    <w:rsid w:val="00212044"/>
    <w:rsid w:val="00212445"/>
    <w:rsid w:val="0021252D"/>
    <w:rsid w:val="00212922"/>
    <w:rsid w:val="00212C09"/>
    <w:rsid w:val="00212E9C"/>
    <w:rsid w:val="00212F48"/>
    <w:rsid w:val="002134F2"/>
    <w:rsid w:val="0021374B"/>
    <w:rsid w:val="0021391F"/>
    <w:rsid w:val="00213DB8"/>
    <w:rsid w:val="00213E1B"/>
    <w:rsid w:val="00213E6D"/>
    <w:rsid w:val="00213F97"/>
    <w:rsid w:val="00214263"/>
    <w:rsid w:val="00214A51"/>
    <w:rsid w:val="00215000"/>
    <w:rsid w:val="002152D6"/>
    <w:rsid w:val="0021676E"/>
    <w:rsid w:val="002168F4"/>
    <w:rsid w:val="00216AE4"/>
    <w:rsid w:val="00217770"/>
    <w:rsid w:val="00217BB0"/>
    <w:rsid w:val="00217E20"/>
    <w:rsid w:val="00217FD1"/>
    <w:rsid w:val="002208FE"/>
    <w:rsid w:val="00220AE2"/>
    <w:rsid w:val="00220B19"/>
    <w:rsid w:val="00221318"/>
    <w:rsid w:val="002215F4"/>
    <w:rsid w:val="002216AA"/>
    <w:rsid w:val="00221B69"/>
    <w:rsid w:val="00221FC9"/>
    <w:rsid w:val="0022224D"/>
    <w:rsid w:val="00222840"/>
    <w:rsid w:val="002229C8"/>
    <w:rsid w:val="00222C73"/>
    <w:rsid w:val="00223350"/>
    <w:rsid w:val="0022337B"/>
    <w:rsid w:val="00223415"/>
    <w:rsid w:val="00223532"/>
    <w:rsid w:val="0022369E"/>
    <w:rsid w:val="00223B45"/>
    <w:rsid w:val="00224136"/>
    <w:rsid w:val="00224E94"/>
    <w:rsid w:val="00225035"/>
    <w:rsid w:val="002251C2"/>
    <w:rsid w:val="0022584C"/>
    <w:rsid w:val="002259D2"/>
    <w:rsid w:val="002263C5"/>
    <w:rsid w:val="002266F7"/>
    <w:rsid w:val="00226794"/>
    <w:rsid w:val="00226846"/>
    <w:rsid w:val="00226D47"/>
    <w:rsid w:val="00226DE3"/>
    <w:rsid w:val="00226E3D"/>
    <w:rsid w:val="00226ECA"/>
    <w:rsid w:val="002275C0"/>
    <w:rsid w:val="00227838"/>
    <w:rsid w:val="0022787A"/>
    <w:rsid w:val="00227EB7"/>
    <w:rsid w:val="00227EFD"/>
    <w:rsid w:val="00230206"/>
    <w:rsid w:val="0023034A"/>
    <w:rsid w:val="00230655"/>
    <w:rsid w:val="00230761"/>
    <w:rsid w:val="00230CDA"/>
    <w:rsid w:val="00230F5D"/>
    <w:rsid w:val="00231675"/>
    <w:rsid w:val="0023178C"/>
    <w:rsid w:val="00231936"/>
    <w:rsid w:val="00231B12"/>
    <w:rsid w:val="00231EB9"/>
    <w:rsid w:val="002328D9"/>
    <w:rsid w:val="00233014"/>
    <w:rsid w:val="00234419"/>
    <w:rsid w:val="002348CD"/>
    <w:rsid w:val="00234C77"/>
    <w:rsid w:val="00234DD0"/>
    <w:rsid w:val="00234F28"/>
    <w:rsid w:val="00235011"/>
    <w:rsid w:val="002352A1"/>
    <w:rsid w:val="002353B2"/>
    <w:rsid w:val="002354D6"/>
    <w:rsid w:val="00235792"/>
    <w:rsid w:val="002357B6"/>
    <w:rsid w:val="0023583B"/>
    <w:rsid w:val="00235D3C"/>
    <w:rsid w:val="00235E41"/>
    <w:rsid w:val="00235EF5"/>
    <w:rsid w:val="00235FCC"/>
    <w:rsid w:val="0023644C"/>
    <w:rsid w:val="00236706"/>
    <w:rsid w:val="00236C3E"/>
    <w:rsid w:val="00236DEB"/>
    <w:rsid w:val="00237471"/>
    <w:rsid w:val="00237815"/>
    <w:rsid w:val="00237C93"/>
    <w:rsid w:val="00240455"/>
    <w:rsid w:val="00240AB9"/>
    <w:rsid w:val="00240EB2"/>
    <w:rsid w:val="002413B0"/>
    <w:rsid w:val="0024162B"/>
    <w:rsid w:val="002416BB"/>
    <w:rsid w:val="0024176A"/>
    <w:rsid w:val="00241793"/>
    <w:rsid w:val="00241B78"/>
    <w:rsid w:val="00241C3C"/>
    <w:rsid w:val="002426FF"/>
    <w:rsid w:val="00242DAE"/>
    <w:rsid w:val="002442C7"/>
    <w:rsid w:val="0024499E"/>
    <w:rsid w:val="0024622B"/>
    <w:rsid w:val="0024622C"/>
    <w:rsid w:val="00246263"/>
    <w:rsid w:val="00246A85"/>
    <w:rsid w:val="00250030"/>
    <w:rsid w:val="0025004B"/>
    <w:rsid w:val="002502E5"/>
    <w:rsid w:val="002503BB"/>
    <w:rsid w:val="00250541"/>
    <w:rsid w:val="002507F6"/>
    <w:rsid w:val="00250A39"/>
    <w:rsid w:val="00250D7B"/>
    <w:rsid w:val="00250E60"/>
    <w:rsid w:val="00250ECA"/>
    <w:rsid w:val="00250FCE"/>
    <w:rsid w:val="00251807"/>
    <w:rsid w:val="00251953"/>
    <w:rsid w:val="00251ABE"/>
    <w:rsid w:val="00252558"/>
    <w:rsid w:val="00253285"/>
    <w:rsid w:val="00253527"/>
    <w:rsid w:val="00253D47"/>
    <w:rsid w:val="002550A6"/>
    <w:rsid w:val="002553DC"/>
    <w:rsid w:val="00255E17"/>
    <w:rsid w:val="00256249"/>
    <w:rsid w:val="002563C9"/>
    <w:rsid w:val="0025647D"/>
    <w:rsid w:val="00256A0A"/>
    <w:rsid w:val="00256AC8"/>
    <w:rsid w:val="00257473"/>
    <w:rsid w:val="002574FD"/>
    <w:rsid w:val="00257B86"/>
    <w:rsid w:val="002600D6"/>
    <w:rsid w:val="00260A44"/>
    <w:rsid w:val="00260AFE"/>
    <w:rsid w:val="00261558"/>
    <w:rsid w:val="00261592"/>
    <w:rsid w:val="002616B2"/>
    <w:rsid w:val="00261700"/>
    <w:rsid w:val="00261710"/>
    <w:rsid w:val="00261FFA"/>
    <w:rsid w:val="00262559"/>
    <w:rsid w:val="002625ED"/>
    <w:rsid w:val="00262AB3"/>
    <w:rsid w:val="00262B98"/>
    <w:rsid w:val="00262E4E"/>
    <w:rsid w:val="002630F6"/>
    <w:rsid w:val="002633C5"/>
    <w:rsid w:val="002635A9"/>
    <w:rsid w:val="00263696"/>
    <w:rsid w:val="00263AD3"/>
    <w:rsid w:val="00263F0B"/>
    <w:rsid w:val="0026403A"/>
    <w:rsid w:val="0026439D"/>
    <w:rsid w:val="0026473F"/>
    <w:rsid w:val="00264E22"/>
    <w:rsid w:val="00264EF4"/>
    <w:rsid w:val="00265057"/>
    <w:rsid w:val="002659D1"/>
    <w:rsid w:val="00265A42"/>
    <w:rsid w:val="00265B1B"/>
    <w:rsid w:val="00265DBD"/>
    <w:rsid w:val="00266282"/>
    <w:rsid w:val="002664FC"/>
    <w:rsid w:val="00266507"/>
    <w:rsid w:val="00266555"/>
    <w:rsid w:val="00266C0A"/>
    <w:rsid w:val="00266C5F"/>
    <w:rsid w:val="00267094"/>
    <w:rsid w:val="002672C5"/>
    <w:rsid w:val="002672F6"/>
    <w:rsid w:val="00267F71"/>
    <w:rsid w:val="00270004"/>
    <w:rsid w:val="002703BD"/>
    <w:rsid w:val="002707CE"/>
    <w:rsid w:val="002711D2"/>
    <w:rsid w:val="00271890"/>
    <w:rsid w:val="002719B6"/>
    <w:rsid w:val="00271AFD"/>
    <w:rsid w:val="00271B4F"/>
    <w:rsid w:val="00271F03"/>
    <w:rsid w:val="002725BA"/>
    <w:rsid w:val="00272833"/>
    <w:rsid w:val="00272C8F"/>
    <w:rsid w:val="00273392"/>
    <w:rsid w:val="00273A1F"/>
    <w:rsid w:val="00273B9D"/>
    <w:rsid w:val="00273D63"/>
    <w:rsid w:val="00274A77"/>
    <w:rsid w:val="00274AD3"/>
    <w:rsid w:val="00275116"/>
    <w:rsid w:val="00276091"/>
    <w:rsid w:val="00276243"/>
    <w:rsid w:val="00276B1C"/>
    <w:rsid w:val="002772C2"/>
    <w:rsid w:val="00277301"/>
    <w:rsid w:val="00277B4E"/>
    <w:rsid w:val="00280152"/>
    <w:rsid w:val="0028040B"/>
    <w:rsid w:val="00280548"/>
    <w:rsid w:val="00280834"/>
    <w:rsid w:val="00280FA8"/>
    <w:rsid w:val="002811A4"/>
    <w:rsid w:val="0028179B"/>
    <w:rsid w:val="002817D1"/>
    <w:rsid w:val="002817E2"/>
    <w:rsid w:val="0028197B"/>
    <w:rsid w:val="00281AFB"/>
    <w:rsid w:val="00281E20"/>
    <w:rsid w:val="00281FAC"/>
    <w:rsid w:val="002823D9"/>
    <w:rsid w:val="00282B81"/>
    <w:rsid w:val="00282E74"/>
    <w:rsid w:val="00283735"/>
    <w:rsid w:val="00283797"/>
    <w:rsid w:val="0028379B"/>
    <w:rsid w:val="002839BB"/>
    <w:rsid w:val="00283D98"/>
    <w:rsid w:val="00284125"/>
    <w:rsid w:val="002843D2"/>
    <w:rsid w:val="002845F6"/>
    <w:rsid w:val="002846FE"/>
    <w:rsid w:val="002848E9"/>
    <w:rsid w:val="00284DA0"/>
    <w:rsid w:val="00284ECC"/>
    <w:rsid w:val="00284F85"/>
    <w:rsid w:val="0028516B"/>
    <w:rsid w:val="002853A9"/>
    <w:rsid w:val="0028542A"/>
    <w:rsid w:val="00285882"/>
    <w:rsid w:val="00285A83"/>
    <w:rsid w:val="00285A84"/>
    <w:rsid w:val="00285B0D"/>
    <w:rsid w:val="0028651A"/>
    <w:rsid w:val="00286891"/>
    <w:rsid w:val="00286D02"/>
    <w:rsid w:val="00286F36"/>
    <w:rsid w:val="00287294"/>
    <w:rsid w:val="002872F4"/>
    <w:rsid w:val="002900F7"/>
    <w:rsid w:val="002909B3"/>
    <w:rsid w:val="00291376"/>
    <w:rsid w:val="00292155"/>
    <w:rsid w:val="00292B03"/>
    <w:rsid w:val="00292FB3"/>
    <w:rsid w:val="00293042"/>
    <w:rsid w:val="002931F6"/>
    <w:rsid w:val="0029324F"/>
    <w:rsid w:val="002935BA"/>
    <w:rsid w:val="002936C3"/>
    <w:rsid w:val="002936D9"/>
    <w:rsid w:val="00293855"/>
    <w:rsid w:val="0029394D"/>
    <w:rsid w:val="00293AD8"/>
    <w:rsid w:val="002944DE"/>
    <w:rsid w:val="00294EF3"/>
    <w:rsid w:val="00295826"/>
    <w:rsid w:val="00295F25"/>
    <w:rsid w:val="002969BC"/>
    <w:rsid w:val="00296C41"/>
    <w:rsid w:val="002976FC"/>
    <w:rsid w:val="002978E7"/>
    <w:rsid w:val="00297BB6"/>
    <w:rsid w:val="00297EE4"/>
    <w:rsid w:val="002A00CB"/>
    <w:rsid w:val="002A0277"/>
    <w:rsid w:val="002A0406"/>
    <w:rsid w:val="002A0E8B"/>
    <w:rsid w:val="002A0EE7"/>
    <w:rsid w:val="002A111A"/>
    <w:rsid w:val="002A1A2A"/>
    <w:rsid w:val="002A1E27"/>
    <w:rsid w:val="002A275A"/>
    <w:rsid w:val="002A279D"/>
    <w:rsid w:val="002A2DC7"/>
    <w:rsid w:val="002A33D6"/>
    <w:rsid w:val="002A35E9"/>
    <w:rsid w:val="002A3676"/>
    <w:rsid w:val="002A4942"/>
    <w:rsid w:val="002A4A70"/>
    <w:rsid w:val="002A4E2B"/>
    <w:rsid w:val="002A5A25"/>
    <w:rsid w:val="002A6318"/>
    <w:rsid w:val="002A6466"/>
    <w:rsid w:val="002A6E26"/>
    <w:rsid w:val="002A7411"/>
    <w:rsid w:val="002A7D49"/>
    <w:rsid w:val="002A7FB9"/>
    <w:rsid w:val="002B0164"/>
    <w:rsid w:val="002B05AC"/>
    <w:rsid w:val="002B1436"/>
    <w:rsid w:val="002B25F5"/>
    <w:rsid w:val="002B2664"/>
    <w:rsid w:val="002B26CB"/>
    <w:rsid w:val="002B26F1"/>
    <w:rsid w:val="002B2892"/>
    <w:rsid w:val="002B2A6A"/>
    <w:rsid w:val="002B2BD5"/>
    <w:rsid w:val="002B2BE0"/>
    <w:rsid w:val="002B2BF0"/>
    <w:rsid w:val="002B2CB1"/>
    <w:rsid w:val="002B3020"/>
    <w:rsid w:val="002B3084"/>
    <w:rsid w:val="002B308A"/>
    <w:rsid w:val="002B3276"/>
    <w:rsid w:val="002B3881"/>
    <w:rsid w:val="002B38AB"/>
    <w:rsid w:val="002B398C"/>
    <w:rsid w:val="002B427E"/>
    <w:rsid w:val="002B53A2"/>
    <w:rsid w:val="002B55C4"/>
    <w:rsid w:val="002B5D07"/>
    <w:rsid w:val="002B6052"/>
    <w:rsid w:val="002B639C"/>
    <w:rsid w:val="002B63E8"/>
    <w:rsid w:val="002B6707"/>
    <w:rsid w:val="002B67E9"/>
    <w:rsid w:val="002B6CD0"/>
    <w:rsid w:val="002B7118"/>
    <w:rsid w:val="002B73CA"/>
    <w:rsid w:val="002B7AA6"/>
    <w:rsid w:val="002C052A"/>
    <w:rsid w:val="002C07C3"/>
    <w:rsid w:val="002C0AA9"/>
    <w:rsid w:val="002C0E11"/>
    <w:rsid w:val="002C1253"/>
    <w:rsid w:val="002C125B"/>
    <w:rsid w:val="002C1FA1"/>
    <w:rsid w:val="002C1FD0"/>
    <w:rsid w:val="002C22D7"/>
    <w:rsid w:val="002C24C0"/>
    <w:rsid w:val="002C288F"/>
    <w:rsid w:val="002C29C7"/>
    <w:rsid w:val="002C2A7F"/>
    <w:rsid w:val="002C2BA8"/>
    <w:rsid w:val="002C2FB9"/>
    <w:rsid w:val="002C319E"/>
    <w:rsid w:val="002C38B1"/>
    <w:rsid w:val="002C3BC2"/>
    <w:rsid w:val="002C3DCE"/>
    <w:rsid w:val="002C4068"/>
    <w:rsid w:val="002C4312"/>
    <w:rsid w:val="002C45D5"/>
    <w:rsid w:val="002C4BCD"/>
    <w:rsid w:val="002C4D18"/>
    <w:rsid w:val="002C5DF9"/>
    <w:rsid w:val="002C60E2"/>
    <w:rsid w:val="002C61A5"/>
    <w:rsid w:val="002C629C"/>
    <w:rsid w:val="002C6989"/>
    <w:rsid w:val="002C6E01"/>
    <w:rsid w:val="002C70AA"/>
    <w:rsid w:val="002C7D6C"/>
    <w:rsid w:val="002C7E7F"/>
    <w:rsid w:val="002C7F4E"/>
    <w:rsid w:val="002D0105"/>
    <w:rsid w:val="002D0B9D"/>
    <w:rsid w:val="002D1483"/>
    <w:rsid w:val="002D1573"/>
    <w:rsid w:val="002D2BA5"/>
    <w:rsid w:val="002D2C26"/>
    <w:rsid w:val="002D2D23"/>
    <w:rsid w:val="002D364F"/>
    <w:rsid w:val="002D376B"/>
    <w:rsid w:val="002D3FB6"/>
    <w:rsid w:val="002D3FF4"/>
    <w:rsid w:val="002D4168"/>
    <w:rsid w:val="002D433C"/>
    <w:rsid w:val="002D44A6"/>
    <w:rsid w:val="002D44CC"/>
    <w:rsid w:val="002D6125"/>
    <w:rsid w:val="002D61B8"/>
    <w:rsid w:val="002D62CA"/>
    <w:rsid w:val="002D6538"/>
    <w:rsid w:val="002D6858"/>
    <w:rsid w:val="002D6A52"/>
    <w:rsid w:val="002D6B3B"/>
    <w:rsid w:val="002D6CAE"/>
    <w:rsid w:val="002D7829"/>
    <w:rsid w:val="002D7FCE"/>
    <w:rsid w:val="002E02B6"/>
    <w:rsid w:val="002E0B87"/>
    <w:rsid w:val="002E0EC3"/>
    <w:rsid w:val="002E106F"/>
    <w:rsid w:val="002E14C7"/>
    <w:rsid w:val="002E1F61"/>
    <w:rsid w:val="002E21E1"/>
    <w:rsid w:val="002E2353"/>
    <w:rsid w:val="002E2952"/>
    <w:rsid w:val="002E2DF0"/>
    <w:rsid w:val="002E353C"/>
    <w:rsid w:val="002E36E6"/>
    <w:rsid w:val="002E3C73"/>
    <w:rsid w:val="002E40EF"/>
    <w:rsid w:val="002E4168"/>
    <w:rsid w:val="002E430F"/>
    <w:rsid w:val="002E45C6"/>
    <w:rsid w:val="002E4CD3"/>
    <w:rsid w:val="002E4FB8"/>
    <w:rsid w:val="002E5491"/>
    <w:rsid w:val="002E57E9"/>
    <w:rsid w:val="002E5874"/>
    <w:rsid w:val="002E5E02"/>
    <w:rsid w:val="002E667C"/>
    <w:rsid w:val="002E69DA"/>
    <w:rsid w:val="002E6C59"/>
    <w:rsid w:val="002F02EF"/>
    <w:rsid w:val="002F08A6"/>
    <w:rsid w:val="002F0995"/>
    <w:rsid w:val="002F0BCA"/>
    <w:rsid w:val="002F13A9"/>
    <w:rsid w:val="002F1A66"/>
    <w:rsid w:val="002F1B93"/>
    <w:rsid w:val="002F1CEE"/>
    <w:rsid w:val="002F1D5E"/>
    <w:rsid w:val="002F2493"/>
    <w:rsid w:val="002F29DF"/>
    <w:rsid w:val="002F2AD7"/>
    <w:rsid w:val="002F3344"/>
    <w:rsid w:val="002F355D"/>
    <w:rsid w:val="002F35D2"/>
    <w:rsid w:val="002F3857"/>
    <w:rsid w:val="002F3CA6"/>
    <w:rsid w:val="002F4705"/>
    <w:rsid w:val="002F5538"/>
    <w:rsid w:val="002F6BE5"/>
    <w:rsid w:val="002F6DB7"/>
    <w:rsid w:val="002F6E09"/>
    <w:rsid w:val="002F6E29"/>
    <w:rsid w:val="002F7007"/>
    <w:rsid w:val="002F72F9"/>
    <w:rsid w:val="002F7328"/>
    <w:rsid w:val="002F7777"/>
    <w:rsid w:val="002F7D77"/>
    <w:rsid w:val="00300275"/>
    <w:rsid w:val="00300295"/>
    <w:rsid w:val="00300DF2"/>
    <w:rsid w:val="0030186B"/>
    <w:rsid w:val="00301930"/>
    <w:rsid w:val="00301DE6"/>
    <w:rsid w:val="00301E74"/>
    <w:rsid w:val="00302146"/>
    <w:rsid w:val="0030234B"/>
    <w:rsid w:val="0030245C"/>
    <w:rsid w:val="003026B5"/>
    <w:rsid w:val="00302E32"/>
    <w:rsid w:val="003030F7"/>
    <w:rsid w:val="00303B8A"/>
    <w:rsid w:val="003042BE"/>
    <w:rsid w:val="003047E9"/>
    <w:rsid w:val="00304A94"/>
    <w:rsid w:val="00304ED1"/>
    <w:rsid w:val="00305864"/>
    <w:rsid w:val="00306341"/>
    <w:rsid w:val="0030665E"/>
    <w:rsid w:val="00306ABD"/>
    <w:rsid w:val="003074CE"/>
    <w:rsid w:val="003074EF"/>
    <w:rsid w:val="00307664"/>
    <w:rsid w:val="00307726"/>
    <w:rsid w:val="00307A96"/>
    <w:rsid w:val="00307AC7"/>
    <w:rsid w:val="003101FF"/>
    <w:rsid w:val="00310302"/>
    <w:rsid w:val="00310475"/>
    <w:rsid w:val="00310487"/>
    <w:rsid w:val="00310A23"/>
    <w:rsid w:val="00310DB6"/>
    <w:rsid w:val="00310EFD"/>
    <w:rsid w:val="00310F4D"/>
    <w:rsid w:val="003118CE"/>
    <w:rsid w:val="0031190A"/>
    <w:rsid w:val="00311AB1"/>
    <w:rsid w:val="00311B1B"/>
    <w:rsid w:val="00311C76"/>
    <w:rsid w:val="00311C83"/>
    <w:rsid w:val="00312169"/>
    <w:rsid w:val="003127EF"/>
    <w:rsid w:val="00313183"/>
    <w:rsid w:val="003132BF"/>
    <w:rsid w:val="00313ABB"/>
    <w:rsid w:val="00313E2E"/>
    <w:rsid w:val="00313F49"/>
    <w:rsid w:val="0031438C"/>
    <w:rsid w:val="00314532"/>
    <w:rsid w:val="00314A3C"/>
    <w:rsid w:val="00315263"/>
    <w:rsid w:val="003153FE"/>
    <w:rsid w:val="0031564D"/>
    <w:rsid w:val="003156DD"/>
    <w:rsid w:val="00315F16"/>
    <w:rsid w:val="00315FF4"/>
    <w:rsid w:val="003163FE"/>
    <w:rsid w:val="003165FA"/>
    <w:rsid w:val="0031675D"/>
    <w:rsid w:val="00316A01"/>
    <w:rsid w:val="00317022"/>
    <w:rsid w:val="0031750A"/>
    <w:rsid w:val="003175D1"/>
    <w:rsid w:val="0031772D"/>
    <w:rsid w:val="003177B8"/>
    <w:rsid w:val="00317A64"/>
    <w:rsid w:val="00317CA9"/>
    <w:rsid w:val="003202EB"/>
    <w:rsid w:val="00320429"/>
    <w:rsid w:val="00320613"/>
    <w:rsid w:val="003208CE"/>
    <w:rsid w:val="00320C2B"/>
    <w:rsid w:val="00321063"/>
    <w:rsid w:val="003211EF"/>
    <w:rsid w:val="003219C9"/>
    <w:rsid w:val="00321A9F"/>
    <w:rsid w:val="00321C50"/>
    <w:rsid w:val="003225FF"/>
    <w:rsid w:val="003229AF"/>
    <w:rsid w:val="00322F15"/>
    <w:rsid w:val="0032309B"/>
    <w:rsid w:val="00323369"/>
    <w:rsid w:val="0032352C"/>
    <w:rsid w:val="00323BC1"/>
    <w:rsid w:val="00324158"/>
    <w:rsid w:val="0032483E"/>
    <w:rsid w:val="0032492A"/>
    <w:rsid w:val="00324F6F"/>
    <w:rsid w:val="00325984"/>
    <w:rsid w:val="00325DCA"/>
    <w:rsid w:val="00327455"/>
    <w:rsid w:val="0032791A"/>
    <w:rsid w:val="0033024F"/>
    <w:rsid w:val="00330759"/>
    <w:rsid w:val="00330851"/>
    <w:rsid w:val="00330937"/>
    <w:rsid w:val="0033093D"/>
    <w:rsid w:val="00330A78"/>
    <w:rsid w:val="00330C13"/>
    <w:rsid w:val="0033139B"/>
    <w:rsid w:val="0033164D"/>
    <w:rsid w:val="00331903"/>
    <w:rsid w:val="00331AB4"/>
    <w:rsid w:val="00331BDA"/>
    <w:rsid w:val="00331C87"/>
    <w:rsid w:val="00331F85"/>
    <w:rsid w:val="003326C1"/>
    <w:rsid w:val="00332BC2"/>
    <w:rsid w:val="00332D9C"/>
    <w:rsid w:val="00332DBF"/>
    <w:rsid w:val="00332DE0"/>
    <w:rsid w:val="00332ED8"/>
    <w:rsid w:val="00332F2A"/>
    <w:rsid w:val="003334E9"/>
    <w:rsid w:val="00333FEE"/>
    <w:rsid w:val="0033478E"/>
    <w:rsid w:val="00334C45"/>
    <w:rsid w:val="00334F7C"/>
    <w:rsid w:val="00335364"/>
    <w:rsid w:val="00335E33"/>
    <w:rsid w:val="00335F7F"/>
    <w:rsid w:val="003361C7"/>
    <w:rsid w:val="00336534"/>
    <w:rsid w:val="0033670C"/>
    <w:rsid w:val="00337627"/>
    <w:rsid w:val="003376DB"/>
    <w:rsid w:val="00337CBC"/>
    <w:rsid w:val="0034007B"/>
    <w:rsid w:val="00340080"/>
    <w:rsid w:val="003403E0"/>
    <w:rsid w:val="00340637"/>
    <w:rsid w:val="0034064F"/>
    <w:rsid w:val="00340B3B"/>
    <w:rsid w:val="00340CB1"/>
    <w:rsid w:val="00340E9D"/>
    <w:rsid w:val="00341626"/>
    <w:rsid w:val="00341F4F"/>
    <w:rsid w:val="00342153"/>
    <w:rsid w:val="00342637"/>
    <w:rsid w:val="00342CEC"/>
    <w:rsid w:val="0034338C"/>
    <w:rsid w:val="0034391C"/>
    <w:rsid w:val="00343EAA"/>
    <w:rsid w:val="003446C2"/>
    <w:rsid w:val="00344A59"/>
    <w:rsid w:val="00344DCB"/>
    <w:rsid w:val="003454E1"/>
    <w:rsid w:val="00350286"/>
    <w:rsid w:val="0035028B"/>
    <w:rsid w:val="003516B8"/>
    <w:rsid w:val="00351948"/>
    <w:rsid w:val="00351E18"/>
    <w:rsid w:val="00352D95"/>
    <w:rsid w:val="0035313A"/>
    <w:rsid w:val="00353479"/>
    <w:rsid w:val="0035350F"/>
    <w:rsid w:val="0035486B"/>
    <w:rsid w:val="0035494B"/>
    <w:rsid w:val="00354D89"/>
    <w:rsid w:val="003556A7"/>
    <w:rsid w:val="0035596C"/>
    <w:rsid w:val="00355BAE"/>
    <w:rsid w:val="00355BFF"/>
    <w:rsid w:val="00356204"/>
    <w:rsid w:val="003566B1"/>
    <w:rsid w:val="0035687C"/>
    <w:rsid w:val="003568C6"/>
    <w:rsid w:val="0035696D"/>
    <w:rsid w:val="00356CE3"/>
    <w:rsid w:val="00356EDE"/>
    <w:rsid w:val="00357604"/>
    <w:rsid w:val="00357BF4"/>
    <w:rsid w:val="00357E10"/>
    <w:rsid w:val="0036024A"/>
    <w:rsid w:val="003604FB"/>
    <w:rsid w:val="00360568"/>
    <w:rsid w:val="00360599"/>
    <w:rsid w:val="0036084E"/>
    <w:rsid w:val="00360987"/>
    <w:rsid w:val="00360C61"/>
    <w:rsid w:val="00360CD9"/>
    <w:rsid w:val="00361183"/>
    <w:rsid w:val="00361885"/>
    <w:rsid w:val="003635D2"/>
    <w:rsid w:val="003638A5"/>
    <w:rsid w:val="003638D7"/>
    <w:rsid w:val="003639A3"/>
    <w:rsid w:val="00363A52"/>
    <w:rsid w:val="00363DFA"/>
    <w:rsid w:val="00363F8F"/>
    <w:rsid w:val="00365A44"/>
    <w:rsid w:val="00365CD8"/>
    <w:rsid w:val="00365F87"/>
    <w:rsid w:val="00366793"/>
    <w:rsid w:val="00366C11"/>
    <w:rsid w:val="00366D8A"/>
    <w:rsid w:val="00366E44"/>
    <w:rsid w:val="00367008"/>
    <w:rsid w:val="003676FC"/>
    <w:rsid w:val="00367E94"/>
    <w:rsid w:val="00370370"/>
    <w:rsid w:val="00370829"/>
    <w:rsid w:val="00370B21"/>
    <w:rsid w:val="00371158"/>
    <w:rsid w:val="00371328"/>
    <w:rsid w:val="003715CB"/>
    <w:rsid w:val="003715D7"/>
    <w:rsid w:val="00371D21"/>
    <w:rsid w:val="00371D2C"/>
    <w:rsid w:val="00372053"/>
    <w:rsid w:val="00372E27"/>
    <w:rsid w:val="00373146"/>
    <w:rsid w:val="00373336"/>
    <w:rsid w:val="003735CD"/>
    <w:rsid w:val="003737C8"/>
    <w:rsid w:val="00373A24"/>
    <w:rsid w:val="00373B61"/>
    <w:rsid w:val="00373F0C"/>
    <w:rsid w:val="00374CB1"/>
    <w:rsid w:val="00374F46"/>
    <w:rsid w:val="0037598F"/>
    <w:rsid w:val="003759CF"/>
    <w:rsid w:val="00375C41"/>
    <w:rsid w:val="0037600A"/>
    <w:rsid w:val="003762E0"/>
    <w:rsid w:val="003767A0"/>
    <w:rsid w:val="003767A3"/>
    <w:rsid w:val="00376C6C"/>
    <w:rsid w:val="00376C91"/>
    <w:rsid w:val="00376D68"/>
    <w:rsid w:val="00377F0A"/>
    <w:rsid w:val="003805A2"/>
    <w:rsid w:val="003810F2"/>
    <w:rsid w:val="0038170C"/>
    <w:rsid w:val="003817D8"/>
    <w:rsid w:val="003821BC"/>
    <w:rsid w:val="00382564"/>
    <w:rsid w:val="003825A0"/>
    <w:rsid w:val="00382709"/>
    <w:rsid w:val="00382B70"/>
    <w:rsid w:val="00382C43"/>
    <w:rsid w:val="00382FA6"/>
    <w:rsid w:val="003831EA"/>
    <w:rsid w:val="0038324E"/>
    <w:rsid w:val="003836B1"/>
    <w:rsid w:val="00383D69"/>
    <w:rsid w:val="00383D9B"/>
    <w:rsid w:val="0038424D"/>
    <w:rsid w:val="00384305"/>
    <w:rsid w:val="00384B01"/>
    <w:rsid w:val="00384CC1"/>
    <w:rsid w:val="00384FF8"/>
    <w:rsid w:val="003851E0"/>
    <w:rsid w:val="00385547"/>
    <w:rsid w:val="0038556B"/>
    <w:rsid w:val="00385864"/>
    <w:rsid w:val="00385AF7"/>
    <w:rsid w:val="00385DEF"/>
    <w:rsid w:val="00385FCC"/>
    <w:rsid w:val="00386202"/>
    <w:rsid w:val="0038638C"/>
    <w:rsid w:val="00386BA0"/>
    <w:rsid w:val="00386F9C"/>
    <w:rsid w:val="00387413"/>
    <w:rsid w:val="00387D5F"/>
    <w:rsid w:val="00387E26"/>
    <w:rsid w:val="00387EB2"/>
    <w:rsid w:val="00390E23"/>
    <w:rsid w:val="0039127A"/>
    <w:rsid w:val="003913C3"/>
    <w:rsid w:val="00391900"/>
    <w:rsid w:val="00391E93"/>
    <w:rsid w:val="00391EBE"/>
    <w:rsid w:val="003922D7"/>
    <w:rsid w:val="003925B6"/>
    <w:rsid w:val="0039284F"/>
    <w:rsid w:val="00392B00"/>
    <w:rsid w:val="00392C3E"/>
    <w:rsid w:val="00393511"/>
    <w:rsid w:val="00393B58"/>
    <w:rsid w:val="003945E5"/>
    <w:rsid w:val="00394619"/>
    <w:rsid w:val="0039471B"/>
    <w:rsid w:val="0039475E"/>
    <w:rsid w:val="00394802"/>
    <w:rsid w:val="00395246"/>
    <w:rsid w:val="003952B8"/>
    <w:rsid w:val="003954AA"/>
    <w:rsid w:val="00395B3C"/>
    <w:rsid w:val="00396359"/>
    <w:rsid w:val="00396813"/>
    <w:rsid w:val="00397C53"/>
    <w:rsid w:val="00397F3C"/>
    <w:rsid w:val="003A0222"/>
    <w:rsid w:val="003A0982"/>
    <w:rsid w:val="003A09E6"/>
    <w:rsid w:val="003A0F3B"/>
    <w:rsid w:val="003A16C4"/>
    <w:rsid w:val="003A1724"/>
    <w:rsid w:val="003A2565"/>
    <w:rsid w:val="003A2858"/>
    <w:rsid w:val="003A2980"/>
    <w:rsid w:val="003A2FF1"/>
    <w:rsid w:val="003A3CED"/>
    <w:rsid w:val="003A3F67"/>
    <w:rsid w:val="003A41C1"/>
    <w:rsid w:val="003A468A"/>
    <w:rsid w:val="003A4773"/>
    <w:rsid w:val="003A4B1C"/>
    <w:rsid w:val="003A52A2"/>
    <w:rsid w:val="003A549B"/>
    <w:rsid w:val="003A54E3"/>
    <w:rsid w:val="003A5CB4"/>
    <w:rsid w:val="003A62C7"/>
    <w:rsid w:val="003A665B"/>
    <w:rsid w:val="003A67E7"/>
    <w:rsid w:val="003A6AFB"/>
    <w:rsid w:val="003A7091"/>
    <w:rsid w:val="003A78C9"/>
    <w:rsid w:val="003A78EC"/>
    <w:rsid w:val="003A7CCA"/>
    <w:rsid w:val="003A7E03"/>
    <w:rsid w:val="003B01AE"/>
    <w:rsid w:val="003B0292"/>
    <w:rsid w:val="003B09A2"/>
    <w:rsid w:val="003B0CB4"/>
    <w:rsid w:val="003B14FE"/>
    <w:rsid w:val="003B1F4A"/>
    <w:rsid w:val="003B2353"/>
    <w:rsid w:val="003B2D2D"/>
    <w:rsid w:val="003B3244"/>
    <w:rsid w:val="003B3564"/>
    <w:rsid w:val="003B3763"/>
    <w:rsid w:val="003B4012"/>
    <w:rsid w:val="003B41A4"/>
    <w:rsid w:val="003B42F0"/>
    <w:rsid w:val="003B44ED"/>
    <w:rsid w:val="003B5299"/>
    <w:rsid w:val="003B57A4"/>
    <w:rsid w:val="003B587B"/>
    <w:rsid w:val="003B58D5"/>
    <w:rsid w:val="003B6810"/>
    <w:rsid w:val="003B6C82"/>
    <w:rsid w:val="003B7102"/>
    <w:rsid w:val="003B72E5"/>
    <w:rsid w:val="003B7F57"/>
    <w:rsid w:val="003B7FE7"/>
    <w:rsid w:val="003C055A"/>
    <w:rsid w:val="003C09CD"/>
    <w:rsid w:val="003C1112"/>
    <w:rsid w:val="003C1FA6"/>
    <w:rsid w:val="003C2825"/>
    <w:rsid w:val="003C29E2"/>
    <w:rsid w:val="003C2D81"/>
    <w:rsid w:val="003C3229"/>
    <w:rsid w:val="003C3284"/>
    <w:rsid w:val="003C34DF"/>
    <w:rsid w:val="003C39AF"/>
    <w:rsid w:val="003C3FC1"/>
    <w:rsid w:val="003C4772"/>
    <w:rsid w:val="003C4CC6"/>
    <w:rsid w:val="003C5291"/>
    <w:rsid w:val="003C5A1E"/>
    <w:rsid w:val="003C60BA"/>
    <w:rsid w:val="003C6101"/>
    <w:rsid w:val="003C62F8"/>
    <w:rsid w:val="003C63AB"/>
    <w:rsid w:val="003C6794"/>
    <w:rsid w:val="003C6A5E"/>
    <w:rsid w:val="003C6B5C"/>
    <w:rsid w:val="003C6DA2"/>
    <w:rsid w:val="003C7032"/>
    <w:rsid w:val="003C7F3E"/>
    <w:rsid w:val="003D0CF4"/>
    <w:rsid w:val="003D0E47"/>
    <w:rsid w:val="003D0EF3"/>
    <w:rsid w:val="003D1202"/>
    <w:rsid w:val="003D126D"/>
    <w:rsid w:val="003D15E4"/>
    <w:rsid w:val="003D1A93"/>
    <w:rsid w:val="003D1D59"/>
    <w:rsid w:val="003D2115"/>
    <w:rsid w:val="003D2695"/>
    <w:rsid w:val="003D29C1"/>
    <w:rsid w:val="003D2A04"/>
    <w:rsid w:val="003D2AAE"/>
    <w:rsid w:val="003D2CAE"/>
    <w:rsid w:val="003D2EB9"/>
    <w:rsid w:val="003D30C6"/>
    <w:rsid w:val="003D3266"/>
    <w:rsid w:val="003D3276"/>
    <w:rsid w:val="003D350A"/>
    <w:rsid w:val="003D3F7D"/>
    <w:rsid w:val="003D4315"/>
    <w:rsid w:val="003D4A0A"/>
    <w:rsid w:val="003D4D0B"/>
    <w:rsid w:val="003D4E65"/>
    <w:rsid w:val="003D5211"/>
    <w:rsid w:val="003D539F"/>
    <w:rsid w:val="003D547D"/>
    <w:rsid w:val="003D5755"/>
    <w:rsid w:val="003D5773"/>
    <w:rsid w:val="003D5819"/>
    <w:rsid w:val="003D58FB"/>
    <w:rsid w:val="003D5A1C"/>
    <w:rsid w:val="003D5A98"/>
    <w:rsid w:val="003D61D5"/>
    <w:rsid w:val="003D6E07"/>
    <w:rsid w:val="003D7965"/>
    <w:rsid w:val="003E001F"/>
    <w:rsid w:val="003E02B5"/>
    <w:rsid w:val="003E067F"/>
    <w:rsid w:val="003E0CB2"/>
    <w:rsid w:val="003E0E09"/>
    <w:rsid w:val="003E1066"/>
    <w:rsid w:val="003E11A2"/>
    <w:rsid w:val="003E132E"/>
    <w:rsid w:val="003E18EC"/>
    <w:rsid w:val="003E1933"/>
    <w:rsid w:val="003E20BF"/>
    <w:rsid w:val="003E2414"/>
    <w:rsid w:val="003E2859"/>
    <w:rsid w:val="003E3224"/>
    <w:rsid w:val="003E3321"/>
    <w:rsid w:val="003E3884"/>
    <w:rsid w:val="003E3931"/>
    <w:rsid w:val="003E3CC4"/>
    <w:rsid w:val="003E43F8"/>
    <w:rsid w:val="003E4875"/>
    <w:rsid w:val="003E509C"/>
    <w:rsid w:val="003E5343"/>
    <w:rsid w:val="003E5ADC"/>
    <w:rsid w:val="003E5FCB"/>
    <w:rsid w:val="003E7E0F"/>
    <w:rsid w:val="003F0CAE"/>
    <w:rsid w:val="003F1C4C"/>
    <w:rsid w:val="003F206A"/>
    <w:rsid w:val="003F213B"/>
    <w:rsid w:val="003F25C3"/>
    <w:rsid w:val="003F26EE"/>
    <w:rsid w:val="003F27E6"/>
    <w:rsid w:val="003F31BC"/>
    <w:rsid w:val="003F3F51"/>
    <w:rsid w:val="003F457C"/>
    <w:rsid w:val="003F4733"/>
    <w:rsid w:val="003F4C41"/>
    <w:rsid w:val="003F503B"/>
    <w:rsid w:val="003F5291"/>
    <w:rsid w:val="003F5391"/>
    <w:rsid w:val="003F5597"/>
    <w:rsid w:val="003F593A"/>
    <w:rsid w:val="003F5F9C"/>
    <w:rsid w:val="003F63D6"/>
    <w:rsid w:val="003F63DF"/>
    <w:rsid w:val="003F6651"/>
    <w:rsid w:val="003F66D9"/>
    <w:rsid w:val="003F6C8A"/>
    <w:rsid w:val="003F6E7A"/>
    <w:rsid w:val="003F6F06"/>
    <w:rsid w:val="003F7523"/>
    <w:rsid w:val="003F78DD"/>
    <w:rsid w:val="003F7936"/>
    <w:rsid w:val="003F7944"/>
    <w:rsid w:val="003F7F28"/>
    <w:rsid w:val="00400127"/>
    <w:rsid w:val="004001B2"/>
    <w:rsid w:val="004002FD"/>
    <w:rsid w:val="00400732"/>
    <w:rsid w:val="0040103C"/>
    <w:rsid w:val="00401A24"/>
    <w:rsid w:val="0040256C"/>
    <w:rsid w:val="00402E85"/>
    <w:rsid w:val="004030DF"/>
    <w:rsid w:val="0040310B"/>
    <w:rsid w:val="0040327C"/>
    <w:rsid w:val="00403887"/>
    <w:rsid w:val="0040404C"/>
    <w:rsid w:val="00404081"/>
    <w:rsid w:val="0040434F"/>
    <w:rsid w:val="00404350"/>
    <w:rsid w:val="00404577"/>
    <w:rsid w:val="0040506B"/>
    <w:rsid w:val="00405CD6"/>
    <w:rsid w:val="00405DA7"/>
    <w:rsid w:val="00405FB6"/>
    <w:rsid w:val="00406345"/>
    <w:rsid w:val="004065EF"/>
    <w:rsid w:val="00406FDA"/>
    <w:rsid w:val="0040762B"/>
    <w:rsid w:val="00407C65"/>
    <w:rsid w:val="00407ED0"/>
    <w:rsid w:val="004105BE"/>
    <w:rsid w:val="00410FBC"/>
    <w:rsid w:val="00411576"/>
    <w:rsid w:val="004116CD"/>
    <w:rsid w:val="00411E6B"/>
    <w:rsid w:val="0041241A"/>
    <w:rsid w:val="00412594"/>
    <w:rsid w:val="0041266C"/>
    <w:rsid w:val="00412D09"/>
    <w:rsid w:val="00412D80"/>
    <w:rsid w:val="00413305"/>
    <w:rsid w:val="0041373D"/>
    <w:rsid w:val="00413C28"/>
    <w:rsid w:val="00413E5B"/>
    <w:rsid w:val="00413FBC"/>
    <w:rsid w:val="00414104"/>
    <w:rsid w:val="004141D0"/>
    <w:rsid w:val="00414360"/>
    <w:rsid w:val="00415040"/>
    <w:rsid w:val="00415545"/>
    <w:rsid w:val="00415663"/>
    <w:rsid w:val="00415721"/>
    <w:rsid w:val="004159B9"/>
    <w:rsid w:val="00415E1D"/>
    <w:rsid w:val="00415FA0"/>
    <w:rsid w:val="004163D2"/>
    <w:rsid w:val="004165AA"/>
    <w:rsid w:val="00416631"/>
    <w:rsid w:val="00416768"/>
    <w:rsid w:val="004168EE"/>
    <w:rsid w:val="00416D96"/>
    <w:rsid w:val="00416DDA"/>
    <w:rsid w:val="00416EAB"/>
    <w:rsid w:val="00417259"/>
    <w:rsid w:val="004173FD"/>
    <w:rsid w:val="00417824"/>
    <w:rsid w:val="00417ACE"/>
    <w:rsid w:val="004200CC"/>
    <w:rsid w:val="00420A16"/>
    <w:rsid w:val="00420D47"/>
    <w:rsid w:val="00421DC4"/>
    <w:rsid w:val="00421FDD"/>
    <w:rsid w:val="00422BD9"/>
    <w:rsid w:val="00422F5E"/>
    <w:rsid w:val="004233B2"/>
    <w:rsid w:val="0042370D"/>
    <w:rsid w:val="00423A78"/>
    <w:rsid w:val="00423B33"/>
    <w:rsid w:val="004245A0"/>
    <w:rsid w:val="00424BDA"/>
    <w:rsid w:val="00424FAD"/>
    <w:rsid w:val="00425028"/>
    <w:rsid w:val="0042512A"/>
    <w:rsid w:val="004257EF"/>
    <w:rsid w:val="00425A8C"/>
    <w:rsid w:val="00425B6E"/>
    <w:rsid w:val="004265DD"/>
    <w:rsid w:val="00426C88"/>
    <w:rsid w:val="00426DC5"/>
    <w:rsid w:val="00426E78"/>
    <w:rsid w:val="004272CA"/>
    <w:rsid w:val="00427BA2"/>
    <w:rsid w:val="00427BF2"/>
    <w:rsid w:val="00427D09"/>
    <w:rsid w:val="00427F32"/>
    <w:rsid w:val="004309D2"/>
    <w:rsid w:val="00430B03"/>
    <w:rsid w:val="00430C2E"/>
    <w:rsid w:val="0043158B"/>
    <w:rsid w:val="00431752"/>
    <w:rsid w:val="00431B0D"/>
    <w:rsid w:val="00432054"/>
    <w:rsid w:val="00432371"/>
    <w:rsid w:val="0043257F"/>
    <w:rsid w:val="0043264D"/>
    <w:rsid w:val="00432A7F"/>
    <w:rsid w:val="00433479"/>
    <w:rsid w:val="004334F6"/>
    <w:rsid w:val="004337A5"/>
    <w:rsid w:val="00433D51"/>
    <w:rsid w:val="00433E57"/>
    <w:rsid w:val="004341E2"/>
    <w:rsid w:val="00434743"/>
    <w:rsid w:val="00434F2A"/>
    <w:rsid w:val="00435243"/>
    <w:rsid w:val="004353C4"/>
    <w:rsid w:val="004358BA"/>
    <w:rsid w:val="0043687A"/>
    <w:rsid w:val="004368EE"/>
    <w:rsid w:val="00436F7B"/>
    <w:rsid w:val="00437234"/>
    <w:rsid w:val="004372E1"/>
    <w:rsid w:val="00437745"/>
    <w:rsid w:val="00440035"/>
    <w:rsid w:val="00440076"/>
    <w:rsid w:val="00440278"/>
    <w:rsid w:val="00440313"/>
    <w:rsid w:val="004409C1"/>
    <w:rsid w:val="00440A6C"/>
    <w:rsid w:val="004414F5"/>
    <w:rsid w:val="00442257"/>
    <w:rsid w:val="00442654"/>
    <w:rsid w:val="00443A92"/>
    <w:rsid w:val="00443D36"/>
    <w:rsid w:val="00443FE6"/>
    <w:rsid w:val="004441B0"/>
    <w:rsid w:val="004448D8"/>
    <w:rsid w:val="004450AA"/>
    <w:rsid w:val="00445513"/>
    <w:rsid w:val="0044558C"/>
    <w:rsid w:val="004459DB"/>
    <w:rsid w:val="00445BB7"/>
    <w:rsid w:val="004460BC"/>
    <w:rsid w:val="004463C2"/>
    <w:rsid w:val="0044649A"/>
    <w:rsid w:val="0044670F"/>
    <w:rsid w:val="00447BEE"/>
    <w:rsid w:val="00450267"/>
    <w:rsid w:val="00450E2C"/>
    <w:rsid w:val="00450EAC"/>
    <w:rsid w:val="00451233"/>
    <w:rsid w:val="00451500"/>
    <w:rsid w:val="004515D0"/>
    <w:rsid w:val="00451F15"/>
    <w:rsid w:val="004522AB"/>
    <w:rsid w:val="00452657"/>
    <w:rsid w:val="00452B8D"/>
    <w:rsid w:val="00452E82"/>
    <w:rsid w:val="00453022"/>
    <w:rsid w:val="00453BC0"/>
    <w:rsid w:val="00453C94"/>
    <w:rsid w:val="00453D3E"/>
    <w:rsid w:val="004541B3"/>
    <w:rsid w:val="00454525"/>
    <w:rsid w:val="00454ACE"/>
    <w:rsid w:val="00454D79"/>
    <w:rsid w:val="00454FB0"/>
    <w:rsid w:val="004551DB"/>
    <w:rsid w:val="00455769"/>
    <w:rsid w:val="00456116"/>
    <w:rsid w:val="004564D6"/>
    <w:rsid w:val="00456B87"/>
    <w:rsid w:val="00457343"/>
    <w:rsid w:val="004574D4"/>
    <w:rsid w:val="00457EA5"/>
    <w:rsid w:val="00457F5A"/>
    <w:rsid w:val="004601D0"/>
    <w:rsid w:val="004608FD"/>
    <w:rsid w:val="00460EFC"/>
    <w:rsid w:val="004615BF"/>
    <w:rsid w:val="0046192D"/>
    <w:rsid w:val="00462050"/>
    <w:rsid w:val="00462D21"/>
    <w:rsid w:val="00462D9F"/>
    <w:rsid w:val="00462FD8"/>
    <w:rsid w:val="00463699"/>
    <w:rsid w:val="00463C6A"/>
    <w:rsid w:val="004645BD"/>
    <w:rsid w:val="00464BE2"/>
    <w:rsid w:val="004651CA"/>
    <w:rsid w:val="004652D6"/>
    <w:rsid w:val="00465C62"/>
    <w:rsid w:val="0046605A"/>
    <w:rsid w:val="00466256"/>
    <w:rsid w:val="0046649F"/>
    <w:rsid w:val="0046693A"/>
    <w:rsid w:val="004669BB"/>
    <w:rsid w:val="00466F7A"/>
    <w:rsid w:val="004670C2"/>
    <w:rsid w:val="00467680"/>
    <w:rsid w:val="0047016B"/>
    <w:rsid w:val="00470705"/>
    <w:rsid w:val="00470E20"/>
    <w:rsid w:val="00470E68"/>
    <w:rsid w:val="0047114C"/>
    <w:rsid w:val="00471B9D"/>
    <w:rsid w:val="0047224A"/>
    <w:rsid w:val="0047240B"/>
    <w:rsid w:val="0047241B"/>
    <w:rsid w:val="0047295A"/>
    <w:rsid w:val="00472CE5"/>
    <w:rsid w:val="00472E48"/>
    <w:rsid w:val="00473360"/>
    <w:rsid w:val="00473E53"/>
    <w:rsid w:val="00474295"/>
    <w:rsid w:val="004745FC"/>
    <w:rsid w:val="004748CF"/>
    <w:rsid w:val="0047506A"/>
    <w:rsid w:val="00475468"/>
    <w:rsid w:val="0047570C"/>
    <w:rsid w:val="00475C80"/>
    <w:rsid w:val="00475DF0"/>
    <w:rsid w:val="004761D4"/>
    <w:rsid w:val="00476865"/>
    <w:rsid w:val="00476873"/>
    <w:rsid w:val="00476A29"/>
    <w:rsid w:val="00477954"/>
    <w:rsid w:val="004802AC"/>
    <w:rsid w:val="004803FA"/>
    <w:rsid w:val="004804D8"/>
    <w:rsid w:val="00480AAE"/>
    <w:rsid w:val="00481476"/>
    <w:rsid w:val="00481623"/>
    <w:rsid w:val="0048172A"/>
    <w:rsid w:val="00481B8C"/>
    <w:rsid w:val="004828D2"/>
    <w:rsid w:val="00482FE2"/>
    <w:rsid w:val="004831C6"/>
    <w:rsid w:val="0048348B"/>
    <w:rsid w:val="004837E8"/>
    <w:rsid w:val="00483AFD"/>
    <w:rsid w:val="00483C69"/>
    <w:rsid w:val="00483E83"/>
    <w:rsid w:val="00483F6C"/>
    <w:rsid w:val="00483FB8"/>
    <w:rsid w:val="0048427E"/>
    <w:rsid w:val="00484282"/>
    <w:rsid w:val="0048452E"/>
    <w:rsid w:val="00484728"/>
    <w:rsid w:val="004847EE"/>
    <w:rsid w:val="00484955"/>
    <w:rsid w:val="004850CC"/>
    <w:rsid w:val="0048628B"/>
    <w:rsid w:val="00486D67"/>
    <w:rsid w:val="00487441"/>
    <w:rsid w:val="0048759C"/>
    <w:rsid w:val="00487ACE"/>
    <w:rsid w:val="00487CA9"/>
    <w:rsid w:val="00487D6A"/>
    <w:rsid w:val="00490DDE"/>
    <w:rsid w:val="00490DF3"/>
    <w:rsid w:val="0049105C"/>
    <w:rsid w:val="0049130C"/>
    <w:rsid w:val="0049132C"/>
    <w:rsid w:val="0049159C"/>
    <w:rsid w:val="00491B39"/>
    <w:rsid w:val="00491C8F"/>
    <w:rsid w:val="0049260F"/>
    <w:rsid w:val="00492630"/>
    <w:rsid w:val="00492631"/>
    <w:rsid w:val="00492747"/>
    <w:rsid w:val="00492D90"/>
    <w:rsid w:val="0049327B"/>
    <w:rsid w:val="004935D2"/>
    <w:rsid w:val="004939A1"/>
    <w:rsid w:val="00493A8B"/>
    <w:rsid w:val="00493BEC"/>
    <w:rsid w:val="00494127"/>
    <w:rsid w:val="004942ED"/>
    <w:rsid w:val="004946DC"/>
    <w:rsid w:val="0049594C"/>
    <w:rsid w:val="00495E13"/>
    <w:rsid w:val="00496B90"/>
    <w:rsid w:val="00496DDC"/>
    <w:rsid w:val="004972FB"/>
    <w:rsid w:val="004973E1"/>
    <w:rsid w:val="0049771F"/>
    <w:rsid w:val="00497869"/>
    <w:rsid w:val="00497872"/>
    <w:rsid w:val="00497D82"/>
    <w:rsid w:val="004A0DC9"/>
    <w:rsid w:val="004A15B4"/>
    <w:rsid w:val="004A1F8D"/>
    <w:rsid w:val="004A24C2"/>
    <w:rsid w:val="004A2959"/>
    <w:rsid w:val="004A295F"/>
    <w:rsid w:val="004A2B73"/>
    <w:rsid w:val="004A3A46"/>
    <w:rsid w:val="004A3CE1"/>
    <w:rsid w:val="004A3DB5"/>
    <w:rsid w:val="004A430A"/>
    <w:rsid w:val="004A4428"/>
    <w:rsid w:val="004A484F"/>
    <w:rsid w:val="004A675B"/>
    <w:rsid w:val="004A6873"/>
    <w:rsid w:val="004A7443"/>
    <w:rsid w:val="004A7E33"/>
    <w:rsid w:val="004B01B6"/>
    <w:rsid w:val="004B04A0"/>
    <w:rsid w:val="004B04DD"/>
    <w:rsid w:val="004B0634"/>
    <w:rsid w:val="004B0745"/>
    <w:rsid w:val="004B07AE"/>
    <w:rsid w:val="004B0977"/>
    <w:rsid w:val="004B09D7"/>
    <w:rsid w:val="004B0E9C"/>
    <w:rsid w:val="004B10B3"/>
    <w:rsid w:val="004B1A00"/>
    <w:rsid w:val="004B2392"/>
    <w:rsid w:val="004B3017"/>
    <w:rsid w:val="004B33D6"/>
    <w:rsid w:val="004B344E"/>
    <w:rsid w:val="004B3942"/>
    <w:rsid w:val="004B3A08"/>
    <w:rsid w:val="004B3DB7"/>
    <w:rsid w:val="004B3E8F"/>
    <w:rsid w:val="004B40F7"/>
    <w:rsid w:val="004B41FB"/>
    <w:rsid w:val="004B4578"/>
    <w:rsid w:val="004B4929"/>
    <w:rsid w:val="004B499A"/>
    <w:rsid w:val="004B50E6"/>
    <w:rsid w:val="004B5210"/>
    <w:rsid w:val="004B532D"/>
    <w:rsid w:val="004B65F4"/>
    <w:rsid w:val="004B6776"/>
    <w:rsid w:val="004B698A"/>
    <w:rsid w:val="004B69D8"/>
    <w:rsid w:val="004B69E8"/>
    <w:rsid w:val="004B7B1A"/>
    <w:rsid w:val="004C0090"/>
    <w:rsid w:val="004C04BE"/>
    <w:rsid w:val="004C084F"/>
    <w:rsid w:val="004C0AC5"/>
    <w:rsid w:val="004C0CC2"/>
    <w:rsid w:val="004C1674"/>
    <w:rsid w:val="004C1943"/>
    <w:rsid w:val="004C1A93"/>
    <w:rsid w:val="004C21E2"/>
    <w:rsid w:val="004C2C96"/>
    <w:rsid w:val="004C2D8D"/>
    <w:rsid w:val="004C303E"/>
    <w:rsid w:val="004C3086"/>
    <w:rsid w:val="004C3098"/>
    <w:rsid w:val="004C37A4"/>
    <w:rsid w:val="004C3A5E"/>
    <w:rsid w:val="004C3A71"/>
    <w:rsid w:val="004C3E41"/>
    <w:rsid w:val="004C4568"/>
    <w:rsid w:val="004C4590"/>
    <w:rsid w:val="004C4882"/>
    <w:rsid w:val="004C5A3E"/>
    <w:rsid w:val="004C5F0D"/>
    <w:rsid w:val="004C648A"/>
    <w:rsid w:val="004C6556"/>
    <w:rsid w:val="004C6E16"/>
    <w:rsid w:val="004C6F60"/>
    <w:rsid w:val="004C6F7B"/>
    <w:rsid w:val="004C7EED"/>
    <w:rsid w:val="004D044F"/>
    <w:rsid w:val="004D0734"/>
    <w:rsid w:val="004D0D35"/>
    <w:rsid w:val="004D0FC9"/>
    <w:rsid w:val="004D0FE2"/>
    <w:rsid w:val="004D1275"/>
    <w:rsid w:val="004D12EE"/>
    <w:rsid w:val="004D1324"/>
    <w:rsid w:val="004D13F0"/>
    <w:rsid w:val="004D189C"/>
    <w:rsid w:val="004D1C31"/>
    <w:rsid w:val="004D1FFA"/>
    <w:rsid w:val="004D280A"/>
    <w:rsid w:val="004D2C2D"/>
    <w:rsid w:val="004D2E33"/>
    <w:rsid w:val="004D2E78"/>
    <w:rsid w:val="004D2F6B"/>
    <w:rsid w:val="004D3145"/>
    <w:rsid w:val="004D3626"/>
    <w:rsid w:val="004D3716"/>
    <w:rsid w:val="004D3A69"/>
    <w:rsid w:val="004D3A86"/>
    <w:rsid w:val="004D3B5B"/>
    <w:rsid w:val="004D40BB"/>
    <w:rsid w:val="004D41BD"/>
    <w:rsid w:val="004D44AA"/>
    <w:rsid w:val="004D501D"/>
    <w:rsid w:val="004D5419"/>
    <w:rsid w:val="004D56C9"/>
    <w:rsid w:val="004D5927"/>
    <w:rsid w:val="004D5937"/>
    <w:rsid w:val="004D5FB9"/>
    <w:rsid w:val="004D6389"/>
    <w:rsid w:val="004D63BA"/>
    <w:rsid w:val="004D664F"/>
    <w:rsid w:val="004D6762"/>
    <w:rsid w:val="004D6870"/>
    <w:rsid w:val="004D6D8D"/>
    <w:rsid w:val="004D6F72"/>
    <w:rsid w:val="004D72EB"/>
    <w:rsid w:val="004D7DD5"/>
    <w:rsid w:val="004E0061"/>
    <w:rsid w:val="004E0145"/>
    <w:rsid w:val="004E09F6"/>
    <w:rsid w:val="004E0AB7"/>
    <w:rsid w:val="004E1CDC"/>
    <w:rsid w:val="004E20C1"/>
    <w:rsid w:val="004E20C6"/>
    <w:rsid w:val="004E2849"/>
    <w:rsid w:val="004E2A09"/>
    <w:rsid w:val="004E3022"/>
    <w:rsid w:val="004E3052"/>
    <w:rsid w:val="004E310B"/>
    <w:rsid w:val="004E323C"/>
    <w:rsid w:val="004E41AA"/>
    <w:rsid w:val="004E45CD"/>
    <w:rsid w:val="004E489A"/>
    <w:rsid w:val="004E4A99"/>
    <w:rsid w:val="004E4ADB"/>
    <w:rsid w:val="004E524E"/>
    <w:rsid w:val="004E5312"/>
    <w:rsid w:val="004E55E4"/>
    <w:rsid w:val="004E572A"/>
    <w:rsid w:val="004E5936"/>
    <w:rsid w:val="004E5C77"/>
    <w:rsid w:val="004E6605"/>
    <w:rsid w:val="004E6C15"/>
    <w:rsid w:val="004E6CC8"/>
    <w:rsid w:val="004E6DAB"/>
    <w:rsid w:val="004E6E74"/>
    <w:rsid w:val="004E76D9"/>
    <w:rsid w:val="004F0CA1"/>
    <w:rsid w:val="004F105F"/>
    <w:rsid w:val="004F24F3"/>
    <w:rsid w:val="004F2AD6"/>
    <w:rsid w:val="004F2E4E"/>
    <w:rsid w:val="004F32A2"/>
    <w:rsid w:val="004F4B52"/>
    <w:rsid w:val="004F5D7B"/>
    <w:rsid w:val="004F6207"/>
    <w:rsid w:val="004F638D"/>
    <w:rsid w:val="004F643F"/>
    <w:rsid w:val="004F68EC"/>
    <w:rsid w:val="004F6BBC"/>
    <w:rsid w:val="004F6E7F"/>
    <w:rsid w:val="004F700F"/>
    <w:rsid w:val="004F7354"/>
    <w:rsid w:val="0050057B"/>
    <w:rsid w:val="005012D7"/>
    <w:rsid w:val="0050142B"/>
    <w:rsid w:val="0050188A"/>
    <w:rsid w:val="005023F0"/>
    <w:rsid w:val="0050294D"/>
    <w:rsid w:val="00502A44"/>
    <w:rsid w:val="0050313B"/>
    <w:rsid w:val="00503497"/>
    <w:rsid w:val="00503992"/>
    <w:rsid w:val="00503FBE"/>
    <w:rsid w:val="005041EE"/>
    <w:rsid w:val="00504603"/>
    <w:rsid w:val="00504AB1"/>
    <w:rsid w:val="00504D0F"/>
    <w:rsid w:val="00504E82"/>
    <w:rsid w:val="00504EC7"/>
    <w:rsid w:val="00504EEF"/>
    <w:rsid w:val="005062DA"/>
    <w:rsid w:val="00506493"/>
    <w:rsid w:val="005069CE"/>
    <w:rsid w:val="005069E1"/>
    <w:rsid w:val="00506B4E"/>
    <w:rsid w:val="00506FCE"/>
    <w:rsid w:val="005075AD"/>
    <w:rsid w:val="00507689"/>
    <w:rsid w:val="0050799D"/>
    <w:rsid w:val="005079A1"/>
    <w:rsid w:val="00510056"/>
    <w:rsid w:val="005105A6"/>
    <w:rsid w:val="00510CD1"/>
    <w:rsid w:val="00510D93"/>
    <w:rsid w:val="00511B53"/>
    <w:rsid w:val="00511C4C"/>
    <w:rsid w:val="005120C9"/>
    <w:rsid w:val="00512797"/>
    <w:rsid w:val="00512827"/>
    <w:rsid w:val="00512844"/>
    <w:rsid w:val="00512C48"/>
    <w:rsid w:val="00512F6B"/>
    <w:rsid w:val="0051315F"/>
    <w:rsid w:val="00514134"/>
    <w:rsid w:val="00514699"/>
    <w:rsid w:val="00514806"/>
    <w:rsid w:val="00514819"/>
    <w:rsid w:val="00514AEE"/>
    <w:rsid w:val="00515060"/>
    <w:rsid w:val="005157A9"/>
    <w:rsid w:val="00515EE7"/>
    <w:rsid w:val="00515F00"/>
    <w:rsid w:val="00516254"/>
    <w:rsid w:val="00516351"/>
    <w:rsid w:val="0051640C"/>
    <w:rsid w:val="005171EE"/>
    <w:rsid w:val="00517665"/>
    <w:rsid w:val="00517715"/>
    <w:rsid w:val="0051782B"/>
    <w:rsid w:val="0051797E"/>
    <w:rsid w:val="00517E60"/>
    <w:rsid w:val="0052060D"/>
    <w:rsid w:val="00520D60"/>
    <w:rsid w:val="00520D7A"/>
    <w:rsid w:val="00521A58"/>
    <w:rsid w:val="00521DF1"/>
    <w:rsid w:val="00522053"/>
    <w:rsid w:val="00522072"/>
    <w:rsid w:val="005220E6"/>
    <w:rsid w:val="0052258C"/>
    <w:rsid w:val="00522A50"/>
    <w:rsid w:val="0052334B"/>
    <w:rsid w:val="00523457"/>
    <w:rsid w:val="00523593"/>
    <w:rsid w:val="00523798"/>
    <w:rsid w:val="00523989"/>
    <w:rsid w:val="00523AA4"/>
    <w:rsid w:val="00523B2B"/>
    <w:rsid w:val="00523BCB"/>
    <w:rsid w:val="005241D4"/>
    <w:rsid w:val="00524914"/>
    <w:rsid w:val="00524953"/>
    <w:rsid w:val="0052565F"/>
    <w:rsid w:val="00525720"/>
    <w:rsid w:val="00525F1C"/>
    <w:rsid w:val="00526CDE"/>
    <w:rsid w:val="00526DF1"/>
    <w:rsid w:val="00526EDE"/>
    <w:rsid w:val="0052785B"/>
    <w:rsid w:val="00530184"/>
    <w:rsid w:val="005301C1"/>
    <w:rsid w:val="0053027E"/>
    <w:rsid w:val="005302B1"/>
    <w:rsid w:val="005304F1"/>
    <w:rsid w:val="00530C54"/>
    <w:rsid w:val="00531318"/>
    <w:rsid w:val="005314D1"/>
    <w:rsid w:val="00531AF4"/>
    <w:rsid w:val="00531B50"/>
    <w:rsid w:val="00531D2F"/>
    <w:rsid w:val="00531F33"/>
    <w:rsid w:val="0053229E"/>
    <w:rsid w:val="0053230F"/>
    <w:rsid w:val="005327B9"/>
    <w:rsid w:val="005327E2"/>
    <w:rsid w:val="00532A17"/>
    <w:rsid w:val="00532CC2"/>
    <w:rsid w:val="00533792"/>
    <w:rsid w:val="00533845"/>
    <w:rsid w:val="005339D1"/>
    <w:rsid w:val="00533B43"/>
    <w:rsid w:val="005346F0"/>
    <w:rsid w:val="00534A50"/>
    <w:rsid w:val="0053566A"/>
    <w:rsid w:val="00535E10"/>
    <w:rsid w:val="00535F33"/>
    <w:rsid w:val="00535F6F"/>
    <w:rsid w:val="00536937"/>
    <w:rsid w:val="00536BE6"/>
    <w:rsid w:val="00536FC3"/>
    <w:rsid w:val="005370B5"/>
    <w:rsid w:val="0053718D"/>
    <w:rsid w:val="00537285"/>
    <w:rsid w:val="0053780E"/>
    <w:rsid w:val="005378BE"/>
    <w:rsid w:val="00537E99"/>
    <w:rsid w:val="00540554"/>
    <w:rsid w:val="00540CC3"/>
    <w:rsid w:val="005410DD"/>
    <w:rsid w:val="005417BC"/>
    <w:rsid w:val="00541B55"/>
    <w:rsid w:val="00541CAD"/>
    <w:rsid w:val="00541E5B"/>
    <w:rsid w:val="0054218B"/>
    <w:rsid w:val="00542423"/>
    <w:rsid w:val="005425C7"/>
    <w:rsid w:val="0054282C"/>
    <w:rsid w:val="00542891"/>
    <w:rsid w:val="00542C7E"/>
    <w:rsid w:val="0054310B"/>
    <w:rsid w:val="0054326B"/>
    <w:rsid w:val="00543723"/>
    <w:rsid w:val="005437F8"/>
    <w:rsid w:val="00543A5E"/>
    <w:rsid w:val="00543FBA"/>
    <w:rsid w:val="005440E8"/>
    <w:rsid w:val="005454D2"/>
    <w:rsid w:val="00545649"/>
    <w:rsid w:val="00545D6B"/>
    <w:rsid w:val="00546624"/>
    <w:rsid w:val="005466E3"/>
    <w:rsid w:val="005469D9"/>
    <w:rsid w:val="00546B93"/>
    <w:rsid w:val="00546F35"/>
    <w:rsid w:val="00547912"/>
    <w:rsid w:val="00547AD0"/>
    <w:rsid w:val="00547C90"/>
    <w:rsid w:val="00547C97"/>
    <w:rsid w:val="00550686"/>
    <w:rsid w:val="00550950"/>
    <w:rsid w:val="0055156C"/>
    <w:rsid w:val="00551A3B"/>
    <w:rsid w:val="00551BE9"/>
    <w:rsid w:val="00551D0D"/>
    <w:rsid w:val="00552041"/>
    <w:rsid w:val="00552895"/>
    <w:rsid w:val="005529F9"/>
    <w:rsid w:val="00552A90"/>
    <w:rsid w:val="005533C2"/>
    <w:rsid w:val="005535B2"/>
    <w:rsid w:val="00553742"/>
    <w:rsid w:val="00554060"/>
    <w:rsid w:val="00554A95"/>
    <w:rsid w:val="00554AF5"/>
    <w:rsid w:val="00554E53"/>
    <w:rsid w:val="00554FD4"/>
    <w:rsid w:val="005552F0"/>
    <w:rsid w:val="0055562A"/>
    <w:rsid w:val="00555C2F"/>
    <w:rsid w:val="00555C62"/>
    <w:rsid w:val="00555C73"/>
    <w:rsid w:val="0055636C"/>
    <w:rsid w:val="005569E2"/>
    <w:rsid w:val="00556A1D"/>
    <w:rsid w:val="00556B95"/>
    <w:rsid w:val="00556C05"/>
    <w:rsid w:val="00556D78"/>
    <w:rsid w:val="00556FFC"/>
    <w:rsid w:val="00560392"/>
    <w:rsid w:val="00560785"/>
    <w:rsid w:val="005608D8"/>
    <w:rsid w:val="00560BBA"/>
    <w:rsid w:val="0056151D"/>
    <w:rsid w:val="00561566"/>
    <w:rsid w:val="00561D66"/>
    <w:rsid w:val="00562A62"/>
    <w:rsid w:val="00562B5B"/>
    <w:rsid w:val="00563022"/>
    <w:rsid w:val="005631E5"/>
    <w:rsid w:val="0056383D"/>
    <w:rsid w:val="00563C4C"/>
    <w:rsid w:val="00563C59"/>
    <w:rsid w:val="00563FC5"/>
    <w:rsid w:val="00564258"/>
    <w:rsid w:val="00564AA3"/>
    <w:rsid w:val="00564B1E"/>
    <w:rsid w:val="00564BAB"/>
    <w:rsid w:val="00565001"/>
    <w:rsid w:val="0056539C"/>
    <w:rsid w:val="00565D93"/>
    <w:rsid w:val="00565DE5"/>
    <w:rsid w:val="0056620C"/>
    <w:rsid w:val="005668BE"/>
    <w:rsid w:val="00566D46"/>
    <w:rsid w:val="00566D67"/>
    <w:rsid w:val="0056759E"/>
    <w:rsid w:val="005677EE"/>
    <w:rsid w:val="00567E9E"/>
    <w:rsid w:val="00570414"/>
    <w:rsid w:val="0057042F"/>
    <w:rsid w:val="0057053A"/>
    <w:rsid w:val="00570B9E"/>
    <w:rsid w:val="00570BDA"/>
    <w:rsid w:val="005710E4"/>
    <w:rsid w:val="005716D5"/>
    <w:rsid w:val="00571963"/>
    <w:rsid w:val="00571AFE"/>
    <w:rsid w:val="00571FA5"/>
    <w:rsid w:val="00572278"/>
    <w:rsid w:val="00572376"/>
    <w:rsid w:val="0057252D"/>
    <w:rsid w:val="005726A9"/>
    <w:rsid w:val="005726B6"/>
    <w:rsid w:val="00572892"/>
    <w:rsid w:val="00572A27"/>
    <w:rsid w:val="00572B42"/>
    <w:rsid w:val="00572FAA"/>
    <w:rsid w:val="0057323C"/>
    <w:rsid w:val="0057329D"/>
    <w:rsid w:val="00573383"/>
    <w:rsid w:val="0057363A"/>
    <w:rsid w:val="005738D0"/>
    <w:rsid w:val="0057406F"/>
    <w:rsid w:val="005741CD"/>
    <w:rsid w:val="005742C1"/>
    <w:rsid w:val="00574A3E"/>
    <w:rsid w:val="005751E1"/>
    <w:rsid w:val="00575347"/>
    <w:rsid w:val="00575515"/>
    <w:rsid w:val="00575755"/>
    <w:rsid w:val="00576009"/>
    <w:rsid w:val="005761E7"/>
    <w:rsid w:val="00576362"/>
    <w:rsid w:val="005763FF"/>
    <w:rsid w:val="00576420"/>
    <w:rsid w:val="00576867"/>
    <w:rsid w:val="00576B50"/>
    <w:rsid w:val="0057791D"/>
    <w:rsid w:val="00577F03"/>
    <w:rsid w:val="00577F41"/>
    <w:rsid w:val="005817B1"/>
    <w:rsid w:val="00581A97"/>
    <w:rsid w:val="00581D98"/>
    <w:rsid w:val="005824FE"/>
    <w:rsid w:val="00582656"/>
    <w:rsid w:val="00582710"/>
    <w:rsid w:val="00582A9F"/>
    <w:rsid w:val="00583475"/>
    <w:rsid w:val="00583717"/>
    <w:rsid w:val="0058382C"/>
    <w:rsid w:val="005843D2"/>
    <w:rsid w:val="005849D6"/>
    <w:rsid w:val="00584C39"/>
    <w:rsid w:val="00584F78"/>
    <w:rsid w:val="0058548A"/>
    <w:rsid w:val="005854F8"/>
    <w:rsid w:val="0058559D"/>
    <w:rsid w:val="00585F54"/>
    <w:rsid w:val="00586102"/>
    <w:rsid w:val="00586109"/>
    <w:rsid w:val="005863BF"/>
    <w:rsid w:val="005869EC"/>
    <w:rsid w:val="00586F1E"/>
    <w:rsid w:val="00587DFB"/>
    <w:rsid w:val="00587E4F"/>
    <w:rsid w:val="00587E56"/>
    <w:rsid w:val="00590C4F"/>
    <w:rsid w:val="00591B6B"/>
    <w:rsid w:val="00591DF3"/>
    <w:rsid w:val="00591EC5"/>
    <w:rsid w:val="00592376"/>
    <w:rsid w:val="00592B94"/>
    <w:rsid w:val="00592CCC"/>
    <w:rsid w:val="00592F71"/>
    <w:rsid w:val="0059331B"/>
    <w:rsid w:val="00593928"/>
    <w:rsid w:val="00593D54"/>
    <w:rsid w:val="005946EB"/>
    <w:rsid w:val="00595383"/>
    <w:rsid w:val="005953A4"/>
    <w:rsid w:val="0059560F"/>
    <w:rsid w:val="00595E75"/>
    <w:rsid w:val="00596013"/>
    <w:rsid w:val="00596066"/>
    <w:rsid w:val="00596402"/>
    <w:rsid w:val="00596B86"/>
    <w:rsid w:val="0059721B"/>
    <w:rsid w:val="00597B7C"/>
    <w:rsid w:val="00597E0C"/>
    <w:rsid w:val="005A0072"/>
    <w:rsid w:val="005A0192"/>
    <w:rsid w:val="005A0833"/>
    <w:rsid w:val="005A146B"/>
    <w:rsid w:val="005A2565"/>
    <w:rsid w:val="005A27AC"/>
    <w:rsid w:val="005A28E9"/>
    <w:rsid w:val="005A301E"/>
    <w:rsid w:val="005A32DF"/>
    <w:rsid w:val="005A33A8"/>
    <w:rsid w:val="005A3CE0"/>
    <w:rsid w:val="005A41E8"/>
    <w:rsid w:val="005A4261"/>
    <w:rsid w:val="005A441E"/>
    <w:rsid w:val="005A44C1"/>
    <w:rsid w:val="005A48AC"/>
    <w:rsid w:val="005A4972"/>
    <w:rsid w:val="005A4B0D"/>
    <w:rsid w:val="005A4CE1"/>
    <w:rsid w:val="005A4D67"/>
    <w:rsid w:val="005A4FA3"/>
    <w:rsid w:val="005A57FA"/>
    <w:rsid w:val="005A5C1B"/>
    <w:rsid w:val="005A5F7F"/>
    <w:rsid w:val="005A6BF3"/>
    <w:rsid w:val="005A6DB4"/>
    <w:rsid w:val="005A7209"/>
    <w:rsid w:val="005A78D3"/>
    <w:rsid w:val="005A794B"/>
    <w:rsid w:val="005A7C96"/>
    <w:rsid w:val="005A7CC0"/>
    <w:rsid w:val="005B00FA"/>
    <w:rsid w:val="005B045F"/>
    <w:rsid w:val="005B0957"/>
    <w:rsid w:val="005B0F12"/>
    <w:rsid w:val="005B1724"/>
    <w:rsid w:val="005B1C87"/>
    <w:rsid w:val="005B1F34"/>
    <w:rsid w:val="005B201C"/>
    <w:rsid w:val="005B21DC"/>
    <w:rsid w:val="005B269E"/>
    <w:rsid w:val="005B2A4F"/>
    <w:rsid w:val="005B2DBC"/>
    <w:rsid w:val="005B2F68"/>
    <w:rsid w:val="005B41F1"/>
    <w:rsid w:val="005B4BF7"/>
    <w:rsid w:val="005B4D11"/>
    <w:rsid w:val="005B500B"/>
    <w:rsid w:val="005B5069"/>
    <w:rsid w:val="005B50A5"/>
    <w:rsid w:val="005B589B"/>
    <w:rsid w:val="005B5B74"/>
    <w:rsid w:val="005B67DD"/>
    <w:rsid w:val="005B72A6"/>
    <w:rsid w:val="005B7561"/>
    <w:rsid w:val="005B7A66"/>
    <w:rsid w:val="005B7C22"/>
    <w:rsid w:val="005C0107"/>
    <w:rsid w:val="005C0AC0"/>
    <w:rsid w:val="005C1489"/>
    <w:rsid w:val="005C1BDB"/>
    <w:rsid w:val="005C1FB3"/>
    <w:rsid w:val="005C211C"/>
    <w:rsid w:val="005C21CA"/>
    <w:rsid w:val="005C26BF"/>
    <w:rsid w:val="005C2749"/>
    <w:rsid w:val="005C3036"/>
    <w:rsid w:val="005C38A0"/>
    <w:rsid w:val="005C3950"/>
    <w:rsid w:val="005C3953"/>
    <w:rsid w:val="005C39E7"/>
    <w:rsid w:val="005C4426"/>
    <w:rsid w:val="005C48A7"/>
    <w:rsid w:val="005C4B86"/>
    <w:rsid w:val="005C4C25"/>
    <w:rsid w:val="005C4C65"/>
    <w:rsid w:val="005C5D58"/>
    <w:rsid w:val="005C5D66"/>
    <w:rsid w:val="005C5EDB"/>
    <w:rsid w:val="005C6646"/>
    <w:rsid w:val="005C680E"/>
    <w:rsid w:val="005C707B"/>
    <w:rsid w:val="005C736D"/>
    <w:rsid w:val="005C76D6"/>
    <w:rsid w:val="005C7941"/>
    <w:rsid w:val="005D0146"/>
    <w:rsid w:val="005D0A20"/>
    <w:rsid w:val="005D0C8A"/>
    <w:rsid w:val="005D0EE1"/>
    <w:rsid w:val="005D1080"/>
    <w:rsid w:val="005D183C"/>
    <w:rsid w:val="005D19DB"/>
    <w:rsid w:val="005D217D"/>
    <w:rsid w:val="005D279D"/>
    <w:rsid w:val="005D2F55"/>
    <w:rsid w:val="005D312B"/>
    <w:rsid w:val="005D33E0"/>
    <w:rsid w:val="005D3509"/>
    <w:rsid w:val="005D359F"/>
    <w:rsid w:val="005D3715"/>
    <w:rsid w:val="005D37B9"/>
    <w:rsid w:val="005D3902"/>
    <w:rsid w:val="005D3D00"/>
    <w:rsid w:val="005D3F39"/>
    <w:rsid w:val="005D530B"/>
    <w:rsid w:val="005D55A8"/>
    <w:rsid w:val="005D5882"/>
    <w:rsid w:val="005D5AD4"/>
    <w:rsid w:val="005D5E1D"/>
    <w:rsid w:val="005D5EFA"/>
    <w:rsid w:val="005D6612"/>
    <w:rsid w:val="005D699B"/>
    <w:rsid w:val="005D6CD2"/>
    <w:rsid w:val="005D73AF"/>
    <w:rsid w:val="005D7772"/>
    <w:rsid w:val="005D79A2"/>
    <w:rsid w:val="005D7A33"/>
    <w:rsid w:val="005D7E41"/>
    <w:rsid w:val="005E0230"/>
    <w:rsid w:val="005E08BC"/>
    <w:rsid w:val="005E0923"/>
    <w:rsid w:val="005E0B3F"/>
    <w:rsid w:val="005E20F3"/>
    <w:rsid w:val="005E2558"/>
    <w:rsid w:val="005E29E3"/>
    <w:rsid w:val="005E2A2D"/>
    <w:rsid w:val="005E2B1B"/>
    <w:rsid w:val="005E2BBF"/>
    <w:rsid w:val="005E308F"/>
    <w:rsid w:val="005E3191"/>
    <w:rsid w:val="005E3277"/>
    <w:rsid w:val="005E36E2"/>
    <w:rsid w:val="005E3BCB"/>
    <w:rsid w:val="005E3F4B"/>
    <w:rsid w:val="005E44A5"/>
    <w:rsid w:val="005E44CB"/>
    <w:rsid w:val="005E4600"/>
    <w:rsid w:val="005E47DE"/>
    <w:rsid w:val="005E4975"/>
    <w:rsid w:val="005E4C90"/>
    <w:rsid w:val="005E4E17"/>
    <w:rsid w:val="005E51C5"/>
    <w:rsid w:val="005E5A4E"/>
    <w:rsid w:val="005E5A50"/>
    <w:rsid w:val="005E5EA1"/>
    <w:rsid w:val="005E62E0"/>
    <w:rsid w:val="005E6318"/>
    <w:rsid w:val="005E718C"/>
    <w:rsid w:val="005E7D7A"/>
    <w:rsid w:val="005E7F98"/>
    <w:rsid w:val="005F001D"/>
    <w:rsid w:val="005F006F"/>
    <w:rsid w:val="005F0404"/>
    <w:rsid w:val="005F0BED"/>
    <w:rsid w:val="005F0C32"/>
    <w:rsid w:val="005F1013"/>
    <w:rsid w:val="005F11DF"/>
    <w:rsid w:val="005F12C4"/>
    <w:rsid w:val="005F1561"/>
    <w:rsid w:val="005F15D7"/>
    <w:rsid w:val="005F1683"/>
    <w:rsid w:val="005F1BEC"/>
    <w:rsid w:val="005F1D7B"/>
    <w:rsid w:val="005F1DC0"/>
    <w:rsid w:val="005F2513"/>
    <w:rsid w:val="005F299C"/>
    <w:rsid w:val="005F2BE2"/>
    <w:rsid w:val="005F3C5E"/>
    <w:rsid w:val="005F4245"/>
    <w:rsid w:val="005F4372"/>
    <w:rsid w:val="005F4394"/>
    <w:rsid w:val="005F5062"/>
    <w:rsid w:val="005F52A1"/>
    <w:rsid w:val="005F5CF2"/>
    <w:rsid w:val="005F5F27"/>
    <w:rsid w:val="005F6631"/>
    <w:rsid w:val="005F6A70"/>
    <w:rsid w:val="005F7431"/>
    <w:rsid w:val="005F76A4"/>
    <w:rsid w:val="005F79BF"/>
    <w:rsid w:val="005F7FAE"/>
    <w:rsid w:val="00600287"/>
    <w:rsid w:val="0060029A"/>
    <w:rsid w:val="006002BE"/>
    <w:rsid w:val="006005CE"/>
    <w:rsid w:val="00601376"/>
    <w:rsid w:val="006017B1"/>
    <w:rsid w:val="0060180C"/>
    <w:rsid w:val="006020F6"/>
    <w:rsid w:val="006026AF"/>
    <w:rsid w:val="006028FF"/>
    <w:rsid w:val="006030D1"/>
    <w:rsid w:val="006038D8"/>
    <w:rsid w:val="00603A57"/>
    <w:rsid w:val="0060464B"/>
    <w:rsid w:val="006049E5"/>
    <w:rsid w:val="006055B2"/>
    <w:rsid w:val="00605B38"/>
    <w:rsid w:val="00606524"/>
    <w:rsid w:val="006067BC"/>
    <w:rsid w:val="00606BAA"/>
    <w:rsid w:val="00606F76"/>
    <w:rsid w:val="006076A2"/>
    <w:rsid w:val="00607805"/>
    <w:rsid w:val="006108FF"/>
    <w:rsid w:val="00610EBF"/>
    <w:rsid w:val="00611098"/>
    <w:rsid w:val="0061196A"/>
    <w:rsid w:val="00611C53"/>
    <w:rsid w:val="00611D3F"/>
    <w:rsid w:val="00611DA7"/>
    <w:rsid w:val="00611E24"/>
    <w:rsid w:val="00611E95"/>
    <w:rsid w:val="0061213A"/>
    <w:rsid w:val="0061267A"/>
    <w:rsid w:val="00612963"/>
    <w:rsid w:val="00612D0A"/>
    <w:rsid w:val="0061300A"/>
    <w:rsid w:val="006135DB"/>
    <w:rsid w:val="00613DAE"/>
    <w:rsid w:val="00613DB0"/>
    <w:rsid w:val="00614674"/>
    <w:rsid w:val="006147E1"/>
    <w:rsid w:val="0061489F"/>
    <w:rsid w:val="00614F3E"/>
    <w:rsid w:val="0061500C"/>
    <w:rsid w:val="00615336"/>
    <w:rsid w:val="006157B1"/>
    <w:rsid w:val="00615AA4"/>
    <w:rsid w:val="00616175"/>
    <w:rsid w:val="00616948"/>
    <w:rsid w:val="00616E3D"/>
    <w:rsid w:val="00616E78"/>
    <w:rsid w:val="00617070"/>
    <w:rsid w:val="00617072"/>
    <w:rsid w:val="0061747A"/>
    <w:rsid w:val="006176CC"/>
    <w:rsid w:val="00617752"/>
    <w:rsid w:val="006177D5"/>
    <w:rsid w:val="00617A20"/>
    <w:rsid w:val="00617C0D"/>
    <w:rsid w:val="0062014B"/>
    <w:rsid w:val="00620461"/>
    <w:rsid w:val="00620D7A"/>
    <w:rsid w:val="006218C5"/>
    <w:rsid w:val="00621AB4"/>
    <w:rsid w:val="00621AE2"/>
    <w:rsid w:val="00621AEB"/>
    <w:rsid w:val="00622165"/>
    <w:rsid w:val="00622216"/>
    <w:rsid w:val="00622A1A"/>
    <w:rsid w:val="00622D72"/>
    <w:rsid w:val="00623306"/>
    <w:rsid w:val="0062375E"/>
    <w:rsid w:val="00623D39"/>
    <w:rsid w:val="006243AB"/>
    <w:rsid w:val="00624584"/>
    <w:rsid w:val="00624887"/>
    <w:rsid w:val="00624E88"/>
    <w:rsid w:val="00624F98"/>
    <w:rsid w:val="00625098"/>
    <w:rsid w:val="00625402"/>
    <w:rsid w:val="00625909"/>
    <w:rsid w:val="00625A86"/>
    <w:rsid w:val="0062604B"/>
    <w:rsid w:val="00626397"/>
    <w:rsid w:val="006263E2"/>
    <w:rsid w:val="00627424"/>
    <w:rsid w:val="006276B0"/>
    <w:rsid w:val="00627FC9"/>
    <w:rsid w:val="00630AA0"/>
    <w:rsid w:val="00630FC3"/>
    <w:rsid w:val="00631630"/>
    <w:rsid w:val="00631729"/>
    <w:rsid w:val="00631A1F"/>
    <w:rsid w:val="00631B4F"/>
    <w:rsid w:val="006323F8"/>
    <w:rsid w:val="00632EAB"/>
    <w:rsid w:val="00632EF5"/>
    <w:rsid w:val="00632F7D"/>
    <w:rsid w:val="00633D88"/>
    <w:rsid w:val="00634530"/>
    <w:rsid w:val="00634DA1"/>
    <w:rsid w:val="006350C1"/>
    <w:rsid w:val="00635665"/>
    <w:rsid w:val="006357CE"/>
    <w:rsid w:val="00635AB0"/>
    <w:rsid w:val="00635F90"/>
    <w:rsid w:val="006363A9"/>
    <w:rsid w:val="00636758"/>
    <w:rsid w:val="00636A55"/>
    <w:rsid w:val="00636F1D"/>
    <w:rsid w:val="006371C5"/>
    <w:rsid w:val="006372B6"/>
    <w:rsid w:val="00637CDC"/>
    <w:rsid w:val="00637FBC"/>
    <w:rsid w:val="006405BE"/>
    <w:rsid w:val="006406F3"/>
    <w:rsid w:val="00640EEE"/>
    <w:rsid w:val="0064125D"/>
    <w:rsid w:val="00641415"/>
    <w:rsid w:val="006416C7"/>
    <w:rsid w:val="0064214A"/>
    <w:rsid w:val="00643487"/>
    <w:rsid w:val="00643B41"/>
    <w:rsid w:val="00643BE1"/>
    <w:rsid w:val="00644662"/>
    <w:rsid w:val="006446FA"/>
    <w:rsid w:val="00644A11"/>
    <w:rsid w:val="00644FCE"/>
    <w:rsid w:val="0064567A"/>
    <w:rsid w:val="006461AF"/>
    <w:rsid w:val="00646654"/>
    <w:rsid w:val="00646F20"/>
    <w:rsid w:val="00647602"/>
    <w:rsid w:val="00647769"/>
    <w:rsid w:val="00647B00"/>
    <w:rsid w:val="00647C5C"/>
    <w:rsid w:val="00647E97"/>
    <w:rsid w:val="0065012F"/>
    <w:rsid w:val="00650243"/>
    <w:rsid w:val="00650919"/>
    <w:rsid w:val="00651755"/>
    <w:rsid w:val="00651A41"/>
    <w:rsid w:val="00651AA6"/>
    <w:rsid w:val="00651E0B"/>
    <w:rsid w:val="00652119"/>
    <w:rsid w:val="00652677"/>
    <w:rsid w:val="006526E4"/>
    <w:rsid w:val="00652872"/>
    <w:rsid w:val="00652B14"/>
    <w:rsid w:val="0065344C"/>
    <w:rsid w:val="006534AF"/>
    <w:rsid w:val="00653F38"/>
    <w:rsid w:val="006540A0"/>
    <w:rsid w:val="0065418E"/>
    <w:rsid w:val="00655795"/>
    <w:rsid w:val="006558F5"/>
    <w:rsid w:val="00655945"/>
    <w:rsid w:val="00655A28"/>
    <w:rsid w:val="00655C33"/>
    <w:rsid w:val="00656177"/>
    <w:rsid w:val="0065679A"/>
    <w:rsid w:val="0065684A"/>
    <w:rsid w:val="00656C47"/>
    <w:rsid w:val="00656DD1"/>
    <w:rsid w:val="00656E83"/>
    <w:rsid w:val="00657A36"/>
    <w:rsid w:val="00657E4A"/>
    <w:rsid w:val="00661457"/>
    <w:rsid w:val="00661592"/>
    <w:rsid w:val="00661C04"/>
    <w:rsid w:val="00661C43"/>
    <w:rsid w:val="00662061"/>
    <w:rsid w:val="00662380"/>
    <w:rsid w:val="006625D1"/>
    <w:rsid w:val="00662ABF"/>
    <w:rsid w:val="00663B2D"/>
    <w:rsid w:val="00663D12"/>
    <w:rsid w:val="00663DF0"/>
    <w:rsid w:val="006645B0"/>
    <w:rsid w:val="006649A0"/>
    <w:rsid w:val="006653E1"/>
    <w:rsid w:val="006658EB"/>
    <w:rsid w:val="00665A53"/>
    <w:rsid w:val="00665CDA"/>
    <w:rsid w:val="00665CE5"/>
    <w:rsid w:val="00665F25"/>
    <w:rsid w:val="0066640E"/>
    <w:rsid w:val="00666887"/>
    <w:rsid w:val="00666962"/>
    <w:rsid w:val="00666A56"/>
    <w:rsid w:val="006677CD"/>
    <w:rsid w:val="00667ADF"/>
    <w:rsid w:val="00667C04"/>
    <w:rsid w:val="00667C1A"/>
    <w:rsid w:val="00667D28"/>
    <w:rsid w:val="00667DFD"/>
    <w:rsid w:val="00670704"/>
    <w:rsid w:val="00670D64"/>
    <w:rsid w:val="00670DC8"/>
    <w:rsid w:val="00670F3D"/>
    <w:rsid w:val="00670F94"/>
    <w:rsid w:val="006711ED"/>
    <w:rsid w:val="00671300"/>
    <w:rsid w:val="0067131B"/>
    <w:rsid w:val="006716FD"/>
    <w:rsid w:val="0067182C"/>
    <w:rsid w:val="006718B4"/>
    <w:rsid w:val="00671B7D"/>
    <w:rsid w:val="00671CAB"/>
    <w:rsid w:val="00671DCE"/>
    <w:rsid w:val="006722F9"/>
    <w:rsid w:val="006723E9"/>
    <w:rsid w:val="00672564"/>
    <w:rsid w:val="006727AC"/>
    <w:rsid w:val="006728CB"/>
    <w:rsid w:val="00672F69"/>
    <w:rsid w:val="006732DE"/>
    <w:rsid w:val="0067337E"/>
    <w:rsid w:val="00673C2D"/>
    <w:rsid w:val="00673C83"/>
    <w:rsid w:val="00674584"/>
    <w:rsid w:val="0067498B"/>
    <w:rsid w:val="00674D60"/>
    <w:rsid w:val="006767E9"/>
    <w:rsid w:val="00677320"/>
    <w:rsid w:val="00677471"/>
    <w:rsid w:val="00677B09"/>
    <w:rsid w:val="00677CF8"/>
    <w:rsid w:val="00680235"/>
    <w:rsid w:val="00680AB7"/>
    <w:rsid w:val="00680C15"/>
    <w:rsid w:val="00680D26"/>
    <w:rsid w:val="00680DC8"/>
    <w:rsid w:val="00681A01"/>
    <w:rsid w:val="00681A6C"/>
    <w:rsid w:val="00681D60"/>
    <w:rsid w:val="00682068"/>
    <w:rsid w:val="0068256F"/>
    <w:rsid w:val="0068274A"/>
    <w:rsid w:val="006827EE"/>
    <w:rsid w:val="00682E3D"/>
    <w:rsid w:val="00682E47"/>
    <w:rsid w:val="00682E64"/>
    <w:rsid w:val="00682F7E"/>
    <w:rsid w:val="006830B5"/>
    <w:rsid w:val="006836A3"/>
    <w:rsid w:val="00683DB8"/>
    <w:rsid w:val="00683ED7"/>
    <w:rsid w:val="00683FFA"/>
    <w:rsid w:val="00684CF0"/>
    <w:rsid w:val="0068545E"/>
    <w:rsid w:val="0068570F"/>
    <w:rsid w:val="0068589E"/>
    <w:rsid w:val="0068665A"/>
    <w:rsid w:val="00686ACC"/>
    <w:rsid w:val="00687D70"/>
    <w:rsid w:val="006907EC"/>
    <w:rsid w:val="00690B9F"/>
    <w:rsid w:val="00690E68"/>
    <w:rsid w:val="0069129F"/>
    <w:rsid w:val="00691381"/>
    <w:rsid w:val="00691689"/>
    <w:rsid w:val="00692660"/>
    <w:rsid w:val="00692AC1"/>
    <w:rsid w:val="00692F40"/>
    <w:rsid w:val="00693126"/>
    <w:rsid w:val="006936FB"/>
    <w:rsid w:val="00693BF9"/>
    <w:rsid w:val="00693E3D"/>
    <w:rsid w:val="00694677"/>
    <w:rsid w:val="006946F3"/>
    <w:rsid w:val="00694D5D"/>
    <w:rsid w:val="006960DA"/>
    <w:rsid w:val="006961D4"/>
    <w:rsid w:val="0069630F"/>
    <w:rsid w:val="006964CF"/>
    <w:rsid w:val="00696ACE"/>
    <w:rsid w:val="00696D8C"/>
    <w:rsid w:val="00697508"/>
    <w:rsid w:val="006979B9"/>
    <w:rsid w:val="00697DCC"/>
    <w:rsid w:val="006A0304"/>
    <w:rsid w:val="006A043D"/>
    <w:rsid w:val="006A04D0"/>
    <w:rsid w:val="006A0729"/>
    <w:rsid w:val="006A0FC7"/>
    <w:rsid w:val="006A1398"/>
    <w:rsid w:val="006A13A8"/>
    <w:rsid w:val="006A194B"/>
    <w:rsid w:val="006A3033"/>
    <w:rsid w:val="006A39A7"/>
    <w:rsid w:val="006A3AA4"/>
    <w:rsid w:val="006A3D1B"/>
    <w:rsid w:val="006A3F48"/>
    <w:rsid w:val="006A4673"/>
    <w:rsid w:val="006A490E"/>
    <w:rsid w:val="006A4BB5"/>
    <w:rsid w:val="006A4CF4"/>
    <w:rsid w:val="006A4D13"/>
    <w:rsid w:val="006A4DE0"/>
    <w:rsid w:val="006A54E7"/>
    <w:rsid w:val="006A5683"/>
    <w:rsid w:val="006A57DB"/>
    <w:rsid w:val="006A5820"/>
    <w:rsid w:val="006A5C56"/>
    <w:rsid w:val="006A6320"/>
    <w:rsid w:val="006A6701"/>
    <w:rsid w:val="006A679F"/>
    <w:rsid w:val="006A70E1"/>
    <w:rsid w:val="006A76F3"/>
    <w:rsid w:val="006B0200"/>
    <w:rsid w:val="006B03C2"/>
    <w:rsid w:val="006B0AD4"/>
    <w:rsid w:val="006B0FED"/>
    <w:rsid w:val="006B1306"/>
    <w:rsid w:val="006B1602"/>
    <w:rsid w:val="006B18DB"/>
    <w:rsid w:val="006B2151"/>
    <w:rsid w:val="006B282F"/>
    <w:rsid w:val="006B2888"/>
    <w:rsid w:val="006B2CED"/>
    <w:rsid w:val="006B36C4"/>
    <w:rsid w:val="006B379E"/>
    <w:rsid w:val="006B3952"/>
    <w:rsid w:val="006B3C41"/>
    <w:rsid w:val="006B40C9"/>
    <w:rsid w:val="006B4357"/>
    <w:rsid w:val="006B4EED"/>
    <w:rsid w:val="006B4F67"/>
    <w:rsid w:val="006B5163"/>
    <w:rsid w:val="006B5257"/>
    <w:rsid w:val="006B5722"/>
    <w:rsid w:val="006B5D7C"/>
    <w:rsid w:val="006B5F7C"/>
    <w:rsid w:val="006B69EF"/>
    <w:rsid w:val="006B6A05"/>
    <w:rsid w:val="006B6FC2"/>
    <w:rsid w:val="006B7029"/>
    <w:rsid w:val="006C010D"/>
    <w:rsid w:val="006C017D"/>
    <w:rsid w:val="006C0413"/>
    <w:rsid w:val="006C04A6"/>
    <w:rsid w:val="006C05AC"/>
    <w:rsid w:val="006C06FF"/>
    <w:rsid w:val="006C07CE"/>
    <w:rsid w:val="006C0876"/>
    <w:rsid w:val="006C11DB"/>
    <w:rsid w:val="006C140A"/>
    <w:rsid w:val="006C20B3"/>
    <w:rsid w:val="006C28A4"/>
    <w:rsid w:val="006C2DA1"/>
    <w:rsid w:val="006C2F50"/>
    <w:rsid w:val="006C34CF"/>
    <w:rsid w:val="006C35A5"/>
    <w:rsid w:val="006C3C1A"/>
    <w:rsid w:val="006C3C62"/>
    <w:rsid w:val="006C3D49"/>
    <w:rsid w:val="006C3ED2"/>
    <w:rsid w:val="006C42DA"/>
    <w:rsid w:val="006C4F19"/>
    <w:rsid w:val="006C50E2"/>
    <w:rsid w:val="006C54F5"/>
    <w:rsid w:val="006C5D3F"/>
    <w:rsid w:val="006C68E7"/>
    <w:rsid w:val="006C6929"/>
    <w:rsid w:val="006C693E"/>
    <w:rsid w:val="006C6B10"/>
    <w:rsid w:val="006C6CAD"/>
    <w:rsid w:val="006C6D52"/>
    <w:rsid w:val="006C6E3D"/>
    <w:rsid w:val="006C7A29"/>
    <w:rsid w:val="006C7CD5"/>
    <w:rsid w:val="006C7D0C"/>
    <w:rsid w:val="006C7D58"/>
    <w:rsid w:val="006C7F40"/>
    <w:rsid w:val="006C7FDE"/>
    <w:rsid w:val="006D00F4"/>
    <w:rsid w:val="006D06C7"/>
    <w:rsid w:val="006D06FB"/>
    <w:rsid w:val="006D089F"/>
    <w:rsid w:val="006D0CEF"/>
    <w:rsid w:val="006D0F9D"/>
    <w:rsid w:val="006D101B"/>
    <w:rsid w:val="006D18C9"/>
    <w:rsid w:val="006D1C6A"/>
    <w:rsid w:val="006D1C7E"/>
    <w:rsid w:val="006D2A5A"/>
    <w:rsid w:val="006D3657"/>
    <w:rsid w:val="006D3DF0"/>
    <w:rsid w:val="006D4243"/>
    <w:rsid w:val="006D42D9"/>
    <w:rsid w:val="006D45B0"/>
    <w:rsid w:val="006D487A"/>
    <w:rsid w:val="006D4939"/>
    <w:rsid w:val="006D4BB6"/>
    <w:rsid w:val="006D4C4C"/>
    <w:rsid w:val="006D5111"/>
    <w:rsid w:val="006D51B9"/>
    <w:rsid w:val="006D5948"/>
    <w:rsid w:val="006D5AFC"/>
    <w:rsid w:val="006D5CCD"/>
    <w:rsid w:val="006D6007"/>
    <w:rsid w:val="006D647E"/>
    <w:rsid w:val="006D65E4"/>
    <w:rsid w:val="006D6F1F"/>
    <w:rsid w:val="006D7AF6"/>
    <w:rsid w:val="006E0336"/>
    <w:rsid w:val="006E03B8"/>
    <w:rsid w:val="006E061C"/>
    <w:rsid w:val="006E06F2"/>
    <w:rsid w:val="006E0911"/>
    <w:rsid w:val="006E10EA"/>
    <w:rsid w:val="006E11C0"/>
    <w:rsid w:val="006E12B2"/>
    <w:rsid w:val="006E133C"/>
    <w:rsid w:val="006E141D"/>
    <w:rsid w:val="006E1568"/>
    <w:rsid w:val="006E1687"/>
    <w:rsid w:val="006E19BD"/>
    <w:rsid w:val="006E227E"/>
    <w:rsid w:val="006E2D8E"/>
    <w:rsid w:val="006E2E14"/>
    <w:rsid w:val="006E3418"/>
    <w:rsid w:val="006E4770"/>
    <w:rsid w:val="006E4EB9"/>
    <w:rsid w:val="006E5005"/>
    <w:rsid w:val="006E5B69"/>
    <w:rsid w:val="006E64B6"/>
    <w:rsid w:val="006E6693"/>
    <w:rsid w:val="006E6D69"/>
    <w:rsid w:val="006E7050"/>
    <w:rsid w:val="006E7344"/>
    <w:rsid w:val="006E7958"/>
    <w:rsid w:val="006E7EFB"/>
    <w:rsid w:val="006F06A2"/>
    <w:rsid w:val="006F0C26"/>
    <w:rsid w:val="006F0FCD"/>
    <w:rsid w:val="006F1476"/>
    <w:rsid w:val="006F1589"/>
    <w:rsid w:val="006F17DC"/>
    <w:rsid w:val="006F1EEF"/>
    <w:rsid w:val="006F265C"/>
    <w:rsid w:val="006F28AA"/>
    <w:rsid w:val="006F2A2A"/>
    <w:rsid w:val="006F2DA2"/>
    <w:rsid w:val="006F339B"/>
    <w:rsid w:val="006F3D80"/>
    <w:rsid w:val="006F3DF7"/>
    <w:rsid w:val="006F3F83"/>
    <w:rsid w:val="006F4100"/>
    <w:rsid w:val="006F42FF"/>
    <w:rsid w:val="006F444C"/>
    <w:rsid w:val="006F44F7"/>
    <w:rsid w:val="006F46D4"/>
    <w:rsid w:val="006F4AD5"/>
    <w:rsid w:val="006F4C9E"/>
    <w:rsid w:val="006F4EFF"/>
    <w:rsid w:val="006F4F89"/>
    <w:rsid w:val="006F5178"/>
    <w:rsid w:val="006F5368"/>
    <w:rsid w:val="006F54E2"/>
    <w:rsid w:val="006F54FD"/>
    <w:rsid w:val="006F563C"/>
    <w:rsid w:val="006F5915"/>
    <w:rsid w:val="006F5A02"/>
    <w:rsid w:val="006F5D6A"/>
    <w:rsid w:val="006F5FE4"/>
    <w:rsid w:val="006F643C"/>
    <w:rsid w:val="006F6446"/>
    <w:rsid w:val="006F7313"/>
    <w:rsid w:val="006F7823"/>
    <w:rsid w:val="006F799C"/>
    <w:rsid w:val="006F79EF"/>
    <w:rsid w:val="006F7FC7"/>
    <w:rsid w:val="0070022A"/>
    <w:rsid w:val="007009E3"/>
    <w:rsid w:val="00700A0C"/>
    <w:rsid w:val="00701730"/>
    <w:rsid w:val="007020FB"/>
    <w:rsid w:val="0070287E"/>
    <w:rsid w:val="0070294E"/>
    <w:rsid w:val="007033AC"/>
    <w:rsid w:val="00703E05"/>
    <w:rsid w:val="00703E52"/>
    <w:rsid w:val="007041AF"/>
    <w:rsid w:val="007045DC"/>
    <w:rsid w:val="0070528D"/>
    <w:rsid w:val="007055DD"/>
    <w:rsid w:val="00705C02"/>
    <w:rsid w:val="00706856"/>
    <w:rsid w:val="007069E3"/>
    <w:rsid w:val="00707172"/>
    <w:rsid w:val="007077A8"/>
    <w:rsid w:val="00707ABC"/>
    <w:rsid w:val="00707AFD"/>
    <w:rsid w:val="0071004E"/>
    <w:rsid w:val="007100B2"/>
    <w:rsid w:val="00710662"/>
    <w:rsid w:val="00710739"/>
    <w:rsid w:val="0071077A"/>
    <w:rsid w:val="00710867"/>
    <w:rsid w:val="00710916"/>
    <w:rsid w:val="00710E7D"/>
    <w:rsid w:val="00711123"/>
    <w:rsid w:val="00711435"/>
    <w:rsid w:val="007118A1"/>
    <w:rsid w:val="00711E34"/>
    <w:rsid w:val="0071203E"/>
    <w:rsid w:val="00712958"/>
    <w:rsid w:val="00713075"/>
    <w:rsid w:val="00713280"/>
    <w:rsid w:val="0071353C"/>
    <w:rsid w:val="00713764"/>
    <w:rsid w:val="00713C96"/>
    <w:rsid w:val="00713CF3"/>
    <w:rsid w:val="00713FCC"/>
    <w:rsid w:val="00714228"/>
    <w:rsid w:val="0071432A"/>
    <w:rsid w:val="00715557"/>
    <w:rsid w:val="007162A7"/>
    <w:rsid w:val="007164B0"/>
    <w:rsid w:val="0071681C"/>
    <w:rsid w:val="00716901"/>
    <w:rsid w:val="0071698D"/>
    <w:rsid w:val="00716C3D"/>
    <w:rsid w:val="00716EC4"/>
    <w:rsid w:val="00717412"/>
    <w:rsid w:val="0071744C"/>
    <w:rsid w:val="007178B6"/>
    <w:rsid w:val="00717C1E"/>
    <w:rsid w:val="007203FA"/>
    <w:rsid w:val="00721461"/>
    <w:rsid w:val="00721597"/>
    <w:rsid w:val="00721691"/>
    <w:rsid w:val="007218E2"/>
    <w:rsid w:val="007219A2"/>
    <w:rsid w:val="007220C9"/>
    <w:rsid w:val="00722641"/>
    <w:rsid w:val="007226AF"/>
    <w:rsid w:val="0072289D"/>
    <w:rsid w:val="00722ABD"/>
    <w:rsid w:val="00722CA7"/>
    <w:rsid w:val="00722E83"/>
    <w:rsid w:val="007230CF"/>
    <w:rsid w:val="007231F2"/>
    <w:rsid w:val="007233C5"/>
    <w:rsid w:val="00723B12"/>
    <w:rsid w:val="00723C4D"/>
    <w:rsid w:val="00723D47"/>
    <w:rsid w:val="007249E2"/>
    <w:rsid w:val="00724E63"/>
    <w:rsid w:val="0072545D"/>
    <w:rsid w:val="007254E8"/>
    <w:rsid w:val="00725788"/>
    <w:rsid w:val="00725DBB"/>
    <w:rsid w:val="00725FBC"/>
    <w:rsid w:val="007261EF"/>
    <w:rsid w:val="00726659"/>
    <w:rsid w:val="00726A1F"/>
    <w:rsid w:val="00727266"/>
    <w:rsid w:val="007274B7"/>
    <w:rsid w:val="00727508"/>
    <w:rsid w:val="007276A7"/>
    <w:rsid w:val="00727709"/>
    <w:rsid w:val="00727A5C"/>
    <w:rsid w:val="00730237"/>
    <w:rsid w:val="00730AB9"/>
    <w:rsid w:val="00731900"/>
    <w:rsid w:val="00732875"/>
    <w:rsid w:val="00732D4D"/>
    <w:rsid w:val="00732FE1"/>
    <w:rsid w:val="0073308D"/>
    <w:rsid w:val="00733210"/>
    <w:rsid w:val="0073336F"/>
    <w:rsid w:val="00733AA1"/>
    <w:rsid w:val="0073414B"/>
    <w:rsid w:val="00734B5A"/>
    <w:rsid w:val="00734DDF"/>
    <w:rsid w:val="0073501A"/>
    <w:rsid w:val="00735328"/>
    <w:rsid w:val="00735397"/>
    <w:rsid w:val="00735BCF"/>
    <w:rsid w:val="007362BE"/>
    <w:rsid w:val="007362C2"/>
    <w:rsid w:val="00736855"/>
    <w:rsid w:val="00736A73"/>
    <w:rsid w:val="00736B3E"/>
    <w:rsid w:val="00736D42"/>
    <w:rsid w:val="00737044"/>
    <w:rsid w:val="00737E0A"/>
    <w:rsid w:val="007401E0"/>
    <w:rsid w:val="007402B2"/>
    <w:rsid w:val="007403AB"/>
    <w:rsid w:val="00740585"/>
    <w:rsid w:val="00740ED4"/>
    <w:rsid w:val="00740FBE"/>
    <w:rsid w:val="00741334"/>
    <w:rsid w:val="00741787"/>
    <w:rsid w:val="007417C2"/>
    <w:rsid w:val="00741AED"/>
    <w:rsid w:val="00741E89"/>
    <w:rsid w:val="00741E98"/>
    <w:rsid w:val="00742659"/>
    <w:rsid w:val="00742939"/>
    <w:rsid w:val="00742B1A"/>
    <w:rsid w:val="00742EA7"/>
    <w:rsid w:val="007434AF"/>
    <w:rsid w:val="00743651"/>
    <w:rsid w:val="0074375C"/>
    <w:rsid w:val="0074398A"/>
    <w:rsid w:val="00743C45"/>
    <w:rsid w:val="00743D3A"/>
    <w:rsid w:val="007441DB"/>
    <w:rsid w:val="0074460C"/>
    <w:rsid w:val="00744D65"/>
    <w:rsid w:val="00744FEC"/>
    <w:rsid w:val="007452B3"/>
    <w:rsid w:val="007457F1"/>
    <w:rsid w:val="00745C18"/>
    <w:rsid w:val="00745E43"/>
    <w:rsid w:val="007464E4"/>
    <w:rsid w:val="00746788"/>
    <w:rsid w:val="00746BC5"/>
    <w:rsid w:val="00747035"/>
    <w:rsid w:val="00747748"/>
    <w:rsid w:val="00747B8C"/>
    <w:rsid w:val="00747CD4"/>
    <w:rsid w:val="007500AD"/>
    <w:rsid w:val="0075034D"/>
    <w:rsid w:val="00750925"/>
    <w:rsid w:val="00750C9A"/>
    <w:rsid w:val="0075115D"/>
    <w:rsid w:val="0075140D"/>
    <w:rsid w:val="0075147B"/>
    <w:rsid w:val="00751A38"/>
    <w:rsid w:val="00751A9A"/>
    <w:rsid w:val="00752305"/>
    <w:rsid w:val="00752B73"/>
    <w:rsid w:val="00752CAE"/>
    <w:rsid w:val="00752DCB"/>
    <w:rsid w:val="00752EA6"/>
    <w:rsid w:val="00753067"/>
    <w:rsid w:val="0075367A"/>
    <w:rsid w:val="00753698"/>
    <w:rsid w:val="007536A1"/>
    <w:rsid w:val="00753798"/>
    <w:rsid w:val="00753AD2"/>
    <w:rsid w:val="00753C87"/>
    <w:rsid w:val="00753D90"/>
    <w:rsid w:val="007547C0"/>
    <w:rsid w:val="00754B38"/>
    <w:rsid w:val="00754F07"/>
    <w:rsid w:val="0075527F"/>
    <w:rsid w:val="0075551F"/>
    <w:rsid w:val="0075644D"/>
    <w:rsid w:val="0075670B"/>
    <w:rsid w:val="00756A3E"/>
    <w:rsid w:val="00756A89"/>
    <w:rsid w:val="00756A97"/>
    <w:rsid w:val="007571F3"/>
    <w:rsid w:val="0075788E"/>
    <w:rsid w:val="0076023C"/>
    <w:rsid w:val="0076029D"/>
    <w:rsid w:val="0076037B"/>
    <w:rsid w:val="007603D3"/>
    <w:rsid w:val="00760627"/>
    <w:rsid w:val="00760881"/>
    <w:rsid w:val="00760A55"/>
    <w:rsid w:val="00760BEB"/>
    <w:rsid w:val="007615E4"/>
    <w:rsid w:val="00761B23"/>
    <w:rsid w:val="00761CCF"/>
    <w:rsid w:val="00761ECA"/>
    <w:rsid w:val="0076218F"/>
    <w:rsid w:val="007626E2"/>
    <w:rsid w:val="00762C11"/>
    <w:rsid w:val="00762E3D"/>
    <w:rsid w:val="00763C0D"/>
    <w:rsid w:val="007641B5"/>
    <w:rsid w:val="007646E5"/>
    <w:rsid w:val="007652D1"/>
    <w:rsid w:val="007652FE"/>
    <w:rsid w:val="007655D5"/>
    <w:rsid w:val="00765C3A"/>
    <w:rsid w:val="00766182"/>
    <w:rsid w:val="007661DC"/>
    <w:rsid w:val="0076637A"/>
    <w:rsid w:val="00766528"/>
    <w:rsid w:val="007668B0"/>
    <w:rsid w:val="007668CE"/>
    <w:rsid w:val="007670E6"/>
    <w:rsid w:val="007673BF"/>
    <w:rsid w:val="007678BD"/>
    <w:rsid w:val="00767AEA"/>
    <w:rsid w:val="00767B44"/>
    <w:rsid w:val="00767B86"/>
    <w:rsid w:val="00767EFD"/>
    <w:rsid w:val="0077008A"/>
    <w:rsid w:val="00771A2A"/>
    <w:rsid w:val="00772312"/>
    <w:rsid w:val="00772AB3"/>
    <w:rsid w:val="00772D5C"/>
    <w:rsid w:val="0077325A"/>
    <w:rsid w:val="00773703"/>
    <w:rsid w:val="007738B8"/>
    <w:rsid w:val="007749D4"/>
    <w:rsid w:val="00774A36"/>
    <w:rsid w:val="00774AE2"/>
    <w:rsid w:val="00774C95"/>
    <w:rsid w:val="00774F81"/>
    <w:rsid w:val="00775BF9"/>
    <w:rsid w:val="0077609A"/>
    <w:rsid w:val="00776273"/>
    <w:rsid w:val="0077633E"/>
    <w:rsid w:val="0077644D"/>
    <w:rsid w:val="00776683"/>
    <w:rsid w:val="00776886"/>
    <w:rsid w:val="00776A9E"/>
    <w:rsid w:val="0077701B"/>
    <w:rsid w:val="0077706B"/>
    <w:rsid w:val="007773B6"/>
    <w:rsid w:val="00777A9D"/>
    <w:rsid w:val="00777AC8"/>
    <w:rsid w:val="00777ADB"/>
    <w:rsid w:val="00777BF5"/>
    <w:rsid w:val="00777C9A"/>
    <w:rsid w:val="00777D4A"/>
    <w:rsid w:val="00780072"/>
    <w:rsid w:val="007803E9"/>
    <w:rsid w:val="00780C51"/>
    <w:rsid w:val="00780E83"/>
    <w:rsid w:val="00781114"/>
    <w:rsid w:val="00781160"/>
    <w:rsid w:val="007812D8"/>
    <w:rsid w:val="0078136E"/>
    <w:rsid w:val="00781533"/>
    <w:rsid w:val="007816B4"/>
    <w:rsid w:val="00781CE6"/>
    <w:rsid w:val="00781F78"/>
    <w:rsid w:val="00782A50"/>
    <w:rsid w:val="00782AF1"/>
    <w:rsid w:val="00782CAB"/>
    <w:rsid w:val="00782DC7"/>
    <w:rsid w:val="00783ADD"/>
    <w:rsid w:val="00783B58"/>
    <w:rsid w:val="00784191"/>
    <w:rsid w:val="0078470F"/>
    <w:rsid w:val="00785098"/>
    <w:rsid w:val="0078533D"/>
    <w:rsid w:val="007858E2"/>
    <w:rsid w:val="00786389"/>
    <w:rsid w:val="0078672D"/>
    <w:rsid w:val="00786B1C"/>
    <w:rsid w:val="0078710F"/>
    <w:rsid w:val="00787423"/>
    <w:rsid w:val="007903AD"/>
    <w:rsid w:val="00790982"/>
    <w:rsid w:val="007911D7"/>
    <w:rsid w:val="007917EE"/>
    <w:rsid w:val="0079195A"/>
    <w:rsid w:val="00791D31"/>
    <w:rsid w:val="00792817"/>
    <w:rsid w:val="00792D7D"/>
    <w:rsid w:val="007934A8"/>
    <w:rsid w:val="007935F1"/>
    <w:rsid w:val="007936C9"/>
    <w:rsid w:val="00793B16"/>
    <w:rsid w:val="00793B4D"/>
    <w:rsid w:val="00793B7C"/>
    <w:rsid w:val="00794125"/>
    <w:rsid w:val="0079455A"/>
    <w:rsid w:val="007945A6"/>
    <w:rsid w:val="0079471F"/>
    <w:rsid w:val="00794924"/>
    <w:rsid w:val="00794DC3"/>
    <w:rsid w:val="00795103"/>
    <w:rsid w:val="00795670"/>
    <w:rsid w:val="007961AD"/>
    <w:rsid w:val="00796F21"/>
    <w:rsid w:val="0079704C"/>
    <w:rsid w:val="0079704F"/>
    <w:rsid w:val="007971A8"/>
    <w:rsid w:val="00797C0E"/>
    <w:rsid w:val="00797C11"/>
    <w:rsid w:val="00797DFF"/>
    <w:rsid w:val="007A031E"/>
    <w:rsid w:val="007A0676"/>
    <w:rsid w:val="007A0DC5"/>
    <w:rsid w:val="007A1AB1"/>
    <w:rsid w:val="007A2170"/>
    <w:rsid w:val="007A24DA"/>
    <w:rsid w:val="007A25C5"/>
    <w:rsid w:val="007A26FE"/>
    <w:rsid w:val="007A27C7"/>
    <w:rsid w:val="007A293E"/>
    <w:rsid w:val="007A29E8"/>
    <w:rsid w:val="007A29F8"/>
    <w:rsid w:val="007A3023"/>
    <w:rsid w:val="007A315E"/>
    <w:rsid w:val="007A325D"/>
    <w:rsid w:val="007A340F"/>
    <w:rsid w:val="007A3585"/>
    <w:rsid w:val="007A3A04"/>
    <w:rsid w:val="007A41BB"/>
    <w:rsid w:val="007A4283"/>
    <w:rsid w:val="007A42B2"/>
    <w:rsid w:val="007A444D"/>
    <w:rsid w:val="007A4897"/>
    <w:rsid w:val="007A509A"/>
    <w:rsid w:val="007A5291"/>
    <w:rsid w:val="007A55AE"/>
    <w:rsid w:val="007A5965"/>
    <w:rsid w:val="007A5BBD"/>
    <w:rsid w:val="007A5D3A"/>
    <w:rsid w:val="007A5EA8"/>
    <w:rsid w:val="007A6086"/>
    <w:rsid w:val="007A636A"/>
    <w:rsid w:val="007A63EC"/>
    <w:rsid w:val="007A6F17"/>
    <w:rsid w:val="007B0192"/>
    <w:rsid w:val="007B0195"/>
    <w:rsid w:val="007B04A0"/>
    <w:rsid w:val="007B07A2"/>
    <w:rsid w:val="007B13BE"/>
    <w:rsid w:val="007B1A1A"/>
    <w:rsid w:val="007B1B38"/>
    <w:rsid w:val="007B1C70"/>
    <w:rsid w:val="007B1F00"/>
    <w:rsid w:val="007B20F1"/>
    <w:rsid w:val="007B21A7"/>
    <w:rsid w:val="007B2378"/>
    <w:rsid w:val="007B32F5"/>
    <w:rsid w:val="007B3A91"/>
    <w:rsid w:val="007B406F"/>
    <w:rsid w:val="007B4333"/>
    <w:rsid w:val="007B45E4"/>
    <w:rsid w:val="007B494C"/>
    <w:rsid w:val="007B4EC7"/>
    <w:rsid w:val="007B56B7"/>
    <w:rsid w:val="007B5E6E"/>
    <w:rsid w:val="007B6311"/>
    <w:rsid w:val="007B696C"/>
    <w:rsid w:val="007B6AAE"/>
    <w:rsid w:val="007B6C10"/>
    <w:rsid w:val="007B6CBA"/>
    <w:rsid w:val="007B6E02"/>
    <w:rsid w:val="007B7096"/>
    <w:rsid w:val="007B75C8"/>
    <w:rsid w:val="007B7CBD"/>
    <w:rsid w:val="007C0171"/>
    <w:rsid w:val="007C04A1"/>
    <w:rsid w:val="007C062D"/>
    <w:rsid w:val="007C066E"/>
    <w:rsid w:val="007C1448"/>
    <w:rsid w:val="007C1784"/>
    <w:rsid w:val="007C1941"/>
    <w:rsid w:val="007C1A45"/>
    <w:rsid w:val="007C23B3"/>
    <w:rsid w:val="007C245E"/>
    <w:rsid w:val="007C2850"/>
    <w:rsid w:val="007C2C00"/>
    <w:rsid w:val="007C3497"/>
    <w:rsid w:val="007C3739"/>
    <w:rsid w:val="007C38F6"/>
    <w:rsid w:val="007C3996"/>
    <w:rsid w:val="007C3E0C"/>
    <w:rsid w:val="007C3E46"/>
    <w:rsid w:val="007C3F50"/>
    <w:rsid w:val="007C423B"/>
    <w:rsid w:val="007C4582"/>
    <w:rsid w:val="007C47A1"/>
    <w:rsid w:val="007C485A"/>
    <w:rsid w:val="007C4D3F"/>
    <w:rsid w:val="007C5097"/>
    <w:rsid w:val="007C6CA5"/>
    <w:rsid w:val="007C6E25"/>
    <w:rsid w:val="007C6EE9"/>
    <w:rsid w:val="007C6F3E"/>
    <w:rsid w:val="007C6FF5"/>
    <w:rsid w:val="007C74F9"/>
    <w:rsid w:val="007C75F5"/>
    <w:rsid w:val="007C7C70"/>
    <w:rsid w:val="007C7FAD"/>
    <w:rsid w:val="007C7FEE"/>
    <w:rsid w:val="007D0A0F"/>
    <w:rsid w:val="007D0A83"/>
    <w:rsid w:val="007D0DCB"/>
    <w:rsid w:val="007D1019"/>
    <w:rsid w:val="007D12AB"/>
    <w:rsid w:val="007D223D"/>
    <w:rsid w:val="007D25B9"/>
    <w:rsid w:val="007D27D9"/>
    <w:rsid w:val="007D28BA"/>
    <w:rsid w:val="007D28D4"/>
    <w:rsid w:val="007D2C79"/>
    <w:rsid w:val="007D2CA4"/>
    <w:rsid w:val="007D3261"/>
    <w:rsid w:val="007D3F21"/>
    <w:rsid w:val="007D453C"/>
    <w:rsid w:val="007D4B03"/>
    <w:rsid w:val="007D4B49"/>
    <w:rsid w:val="007D4E6F"/>
    <w:rsid w:val="007D5469"/>
    <w:rsid w:val="007D5A3D"/>
    <w:rsid w:val="007D5DC7"/>
    <w:rsid w:val="007D5E07"/>
    <w:rsid w:val="007D6366"/>
    <w:rsid w:val="007D6602"/>
    <w:rsid w:val="007D6A65"/>
    <w:rsid w:val="007D6C67"/>
    <w:rsid w:val="007D6CBA"/>
    <w:rsid w:val="007D713C"/>
    <w:rsid w:val="007D7180"/>
    <w:rsid w:val="007D7228"/>
    <w:rsid w:val="007D75F0"/>
    <w:rsid w:val="007D75FC"/>
    <w:rsid w:val="007D7E7F"/>
    <w:rsid w:val="007D7ED3"/>
    <w:rsid w:val="007E003F"/>
    <w:rsid w:val="007E070A"/>
    <w:rsid w:val="007E0BB3"/>
    <w:rsid w:val="007E0EAD"/>
    <w:rsid w:val="007E1064"/>
    <w:rsid w:val="007E1589"/>
    <w:rsid w:val="007E1734"/>
    <w:rsid w:val="007E1C86"/>
    <w:rsid w:val="007E22F4"/>
    <w:rsid w:val="007E2E1C"/>
    <w:rsid w:val="007E30C2"/>
    <w:rsid w:val="007E3654"/>
    <w:rsid w:val="007E3890"/>
    <w:rsid w:val="007E3C7F"/>
    <w:rsid w:val="007E3D06"/>
    <w:rsid w:val="007E3DC5"/>
    <w:rsid w:val="007E4128"/>
    <w:rsid w:val="007E434B"/>
    <w:rsid w:val="007E468F"/>
    <w:rsid w:val="007E51D7"/>
    <w:rsid w:val="007E62EB"/>
    <w:rsid w:val="007E6768"/>
    <w:rsid w:val="007E6C47"/>
    <w:rsid w:val="007E6FB2"/>
    <w:rsid w:val="007E727C"/>
    <w:rsid w:val="007E74CF"/>
    <w:rsid w:val="007E7A3E"/>
    <w:rsid w:val="007F028B"/>
    <w:rsid w:val="007F02B4"/>
    <w:rsid w:val="007F04E9"/>
    <w:rsid w:val="007F0774"/>
    <w:rsid w:val="007F08B1"/>
    <w:rsid w:val="007F0931"/>
    <w:rsid w:val="007F12C9"/>
    <w:rsid w:val="007F1397"/>
    <w:rsid w:val="007F14A8"/>
    <w:rsid w:val="007F16A0"/>
    <w:rsid w:val="007F1D73"/>
    <w:rsid w:val="007F1F4D"/>
    <w:rsid w:val="007F236E"/>
    <w:rsid w:val="007F26D4"/>
    <w:rsid w:val="007F2749"/>
    <w:rsid w:val="007F29B5"/>
    <w:rsid w:val="007F3791"/>
    <w:rsid w:val="007F37E9"/>
    <w:rsid w:val="007F3C4E"/>
    <w:rsid w:val="007F3DA7"/>
    <w:rsid w:val="007F3E0B"/>
    <w:rsid w:val="007F3EA2"/>
    <w:rsid w:val="007F3FCB"/>
    <w:rsid w:val="007F4303"/>
    <w:rsid w:val="007F4361"/>
    <w:rsid w:val="007F4662"/>
    <w:rsid w:val="007F4929"/>
    <w:rsid w:val="007F4A59"/>
    <w:rsid w:val="007F51A7"/>
    <w:rsid w:val="007F5240"/>
    <w:rsid w:val="007F5DB9"/>
    <w:rsid w:val="007F60E7"/>
    <w:rsid w:val="007F6257"/>
    <w:rsid w:val="007F6682"/>
    <w:rsid w:val="007F7003"/>
    <w:rsid w:val="007F708B"/>
    <w:rsid w:val="007F708D"/>
    <w:rsid w:val="007F7B18"/>
    <w:rsid w:val="007F7CD0"/>
    <w:rsid w:val="00800168"/>
    <w:rsid w:val="00800B54"/>
    <w:rsid w:val="00801221"/>
    <w:rsid w:val="00801590"/>
    <w:rsid w:val="00801E8E"/>
    <w:rsid w:val="00802139"/>
    <w:rsid w:val="008026EA"/>
    <w:rsid w:val="0080284C"/>
    <w:rsid w:val="00802C03"/>
    <w:rsid w:val="008030F7"/>
    <w:rsid w:val="008032DB"/>
    <w:rsid w:val="00803401"/>
    <w:rsid w:val="00803620"/>
    <w:rsid w:val="008037AE"/>
    <w:rsid w:val="008038A3"/>
    <w:rsid w:val="00803A20"/>
    <w:rsid w:val="00804144"/>
    <w:rsid w:val="0080465B"/>
    <w:rsid w:val="00804843"/>
    <w:rsid w:val="00804B4B"/>
    <w:rsid w:val="00806164"/>
    <w:rsid w:val="008065DB"/>
    <w:rsid w:val="00806649"/>
    <w:rsid w:val="0080676D"/>
    <w:rsid w:val="008068B8"/>
    <w:rsid w:val="00806A14"/>
    <w:rsid w:val="00806AAF"/>
    <w:rsid w:val="00806BF5"/>
    <w:rsid w:val="00806C06"/>
    <w:rsid w:val="00807016"/>
    <w:rsid w:val="00810167"/>
    <w:rsid w:val="008104D2"/>
    <w:rsid w:val="008108E5"/>
    <w:rsid w:val="00810C07"/>
    <w:rsid w:val="00810FFD"/>
    <w:rsid w:val="00811255"/>
    <w:rsid w:val="008112AB"/>
    <w:rsid w:val="00811328"/>
    <w:rsid w:val="00811339"/>
    <w:rsid w:val="00811703"/>
    <w:rsid w:val="008117E6"/>
    <w:rsid w:val="008118F8"/>
    <w:rsid w:val="0081200F"/>
    <w:rsid w:val="00812737"/>
    <w:rsid w:val="008129FD"/>
    <w:rsid w:val="00812CE8"/>
    <w:rsid w:val="00812FFD"/>
    <w:rsid w:val="008139A6"/>
    <w:rsid w:val="00813A4B"/>
    <w:rsid w:val="00813AF1"/>
    <w:rsid w:val="00815177"/>
    <w:rsid w:val="008155D0"/>
    <w:rsid w:val="008157DC"/>
    <w:rsid w:val="00815970"/>
    <w:rsid w:val="00815BA8"/>
    <w:rsid w:val="00816DF0"/>
    <w:rsid w:val="0081741B"/>
    <w:rsid w:val="00817623"/>
    <w:rsid w:val="00817983"/>
    <w:rsid w:val="00817A45"/>
    <w:rsid w:val="008206B0"/>
    <w:rsid w:val="00820AE9"/>
    <w:rsid w:val="00820CA0"/>
    <w:rsid w:val="008215AA"/>
    <w:rsid w:val="0082186A"/>
    <w:rsid w:val="00821994"/>
    <w:rsid w:val="008222D5"/>
    <w:rsid w:val="0082268B"/>
    <w:rsid w:val="008226EE"/>
    <w:rsid w:val="00822D15"/>
    <w:rsid w:val="008234BF"/>
    <w:rsid w:val="008235C2"/>
    <w:rsid w:val="00823AD5"/>
    <w:rsid w:val="00823B22"/>
    <w:rsid w:val="00824156"/>
    <w:rsid w:val="0082428A"/>
    <w:rsid w:val="00824439"/>
    <w:rsid w:val="00824440"/>
    <w:rsid w:val="0082511C"/>
    <w:rsid w:val="00825457"/>
    <w:rsid w:val="00825A8C"/>
    <w:rsid w:val="00826178"/>
    <w:rsid w:val="008264C2"/>
    <w:rsid w:val="00826859"/>
    <w:rsid w:val="008268E6"/>
    <w:rsid w:val="008268E7"/>
    <w:rsid w:val="008275B1"/>
    <w:rsid w:val="00827D1B"/>
    <w:rsid w:val="00830033"/>
    <w:rsid w:val="008300AA"/>
    <w:rsid w:val="0083019D"/>
    <w:rsid w:val="00830C96"/>
    <w:rsid w:val="00830E06"/>
    <w:rsid w:val="008310E0"/>
    <w:rsid w:val="008310F2"/>
    <w:rsid w:val="00831226"/>
    <w:rsid w:val="0083172E"/>
    <w:rsid w:val="00831B41"/>
    <w:rsid w:val="008322A4"/>
    <w:rsid w:val="00832660"/>
    <w:rsid w:val="008328ED"/>
    <w:rsid w:val="00832D32"/>
    <w:rsid w:val="00833A1F"/>
    <w:rsid w:val="008340E4"/>
    <w:rsid w:val="0083414D"/>
    <w:rsid w:val="0083481D"/>
    <w:rsid w:val="00834F96"/>
    <w:rsid w:val="008353A9"/>
    <w:rsid w:val="00835693"/>
    <w:rsid w:val="0083585F"/>
    <w:rsid w:val="00835C4B"/>
    <w:rsid w:val="00835C6B"/>
    <w:rsid w:val="00836286"/>
    <w:rsid w:val="00836290"/>
    <w:rsid w:val="00836698"/>
    <w:rsid w:val="00836706"/>
    <w:rsid w:val="00836B22"/>
    <w:rsid w:val="00836CBA"/>
    <w:rsid w:val="00837194"/>
    <w:rsid w:val="0083724D"/>
    <w:rsid w:val="00837968"/>
    <w:rsid w:val="00837CD5"/>
    <w:rsid w:val="00837D39"/>
    <w:rsid w:val="00837EAB"/>
    <w:rsid w:val="00840260"/>
    <w:rsid w:val="008402CA"/>
    <w:rsid w:val="008404F1"/>
    <w:rsid w:val="00840796"/>
    <w:rsid w:val="00840B78"/>
    <w:rsid w:val="00840CE5"/>
    <w:rsid w:val="00841008"/>
    <w:rsid w:val="00841398"/>
    <w:rsid w:val="00841447"/>
    <w:rsid w:val="00842671"/>
    <w:rsid w:val="008426D6"/>
    <w:rsid w:val="00842F3D"/>
    <w:rsid w:val="0084383F"/>
    <w:rsid w:val="00843AC7"/>
    <w:rsid w:val="00843CB7"/>
    <w:rsid w:val="00843CEF"/>
    <w:rsid w:val="00843EC3"/>
    <w:rsid w:val="0084449F"/>
    <w:rsid w:val="00844905"/>
    <w:rsid w:val="00844B19"/>
    <w:rsid w:val="00844B8F"/>
    <w:rsid w:val="00844F1E"/>
    <w:rsid w:val="0084543B"/>
    <w:rsid w:val="00845496"/>
    <w:rsid w:val="00845550"/>
    <w:rsid w:val="00845ECF"/>
    <w:rsid w:val="00845F6F"/>
    <w:rsid w:val="0084612F"/>
    <w:rsid w:val="008463D5"/>
    <w:rsid w:val="008463F0"/>
    <w:rsid w:val="00846409"/>
    <w:rsid w:val="00847188"/>
    <w:rsid w:val="008471BB"/>
    <w:rsid w:val="0084720F"/>
    <w:rsid w:val="00847285"/>
    <w:rsid w:val="0084772A"/>
    <w:rsid w:val="00850360"/>
    <w:rsid w:val="00850D76"/>
    <w:rsid w:val="00851356"/>
    <w:rsid w:val="00851530"/>
    <w:rsid w:val="008517D4"/>
    <w:rsid w:val="00852461"/>
    <w:rsid w:val="00852803"/>
    <w:rsid w:val="00853392"/>
    <w:rsid w:val="00853539"/>
    <w:rsid w:val="0085388E"/>
    <w:rsid w:val="00853D90"/>
    <w:rsid w:val="00854149"/>
    <w:rsid w:val="008542CD"/>
    <w:rsid w:val="00854536"/>
    <w:rsid w:val="008549E5"/>
    <w:rsid w:val="00854D65"/>
    <w:rsid w:val="00855351"/>
    <w:rsid w:val="008556F3"/>
    <w:rsid w:val="00855932"/>
    <w:rsid w:val="00855BA1"/>
    <w:rsid w:val="0085614E"/>
    <w:rsid w:val="00856415"/>
    <w:rsid w:val="00856A54"/>
    <w:rsid w:val="00856E07"/>
    <w:rsid w:val="0085749B"/>
    <w:rsid w:val="0085760C"/>
    <w:rsid w:val="0085786D"/>
    <w:rsid w:val="00857BD1"/>
    <w:rsid w:val="00860394"/>
    <w:rsid w:val="008604D2"/>
    <w:rsid w:val="00860986"/>
    <w:rsid w:val="00860AAD"/>
    <w:rsid w:val="00861248"/>
    <w:rsid w:val="00861BEF"/>
    <w:rsid w:val="00861CFB"/>
    <w:rsid w:val="0086208C"/>
    <w:rsid w:val="008621B5"/>
    <w:rsid w:val="0086287E"/>
    <w:rsid w:val="00862A77"/>
    <w:rsid w:val="00863189"/>
    <w:rsid w:val="00863331"/>
    <w:rsid w:val="008634A1"/>
    <w:rsid w:val="0086396F"/>
    <w:rsid w:val="008639D0"/>
    <w:rsid w:val="00863C27"/>
    <w:rsid w:val="00864117"/>
    <w:rsid w:val="008643A6"/>
    <w:rsid w:val="0086452E"/>
    <w:rsid w:val="00864982"/>
    <w:rsid w:val="00865062"/>
    <w:rsid w:val="00865296"/>
    <w:rsid w:val="00865962"/>
    <w:rsid w:val="00865FD4"/>
    <w:rsid w:val="008664BB"/>
    <w:rsid w:val="008678DB"/>
    <w:rsid w:val="00867BD0"/>
    <w:rsid w:val="00867D73"/>
    <w:rsid w:val="008715F5"/>
    <w:rsid w:val="008716D3"/>
    <w:rsid w:val="00871AE2"/>
    <w:rsid w:val="00872DED"/>
    <w:rsid w:val="00873281"/>
    <w:rsid w:val="00873623"/>
    <w:rsid w:val="00873786"/>
    <w:rsid w:val="00873C95"/>
    <w:rsid w:val="00873E2E"/>
    <w:rsid w:val="00874419"/>
    <w:rsid w:val="008746DA"/>
    <w:rsid w:val="0087530A"/>
    <w:rsid w:val="00875553"/>
    <w:rsid w:val="0087576D"/>
    <w:rsid w:val="008758C9"/>
    <w:rsid w:val="00875965"/>
    <w:rsid w:val="00875E05"/>
    <w:rsid w:val="008763CF"/>
    <w:rsid w:val="008764C0"/>
    <w:rsid w:val="0087661E"/>
    <w:rsid w:val="008766E7"/>
    <w:rsid w:val="0087693D"/>
    <w:rsid w:val="0087699B"/>
    <w:rsid w:val="00877006"/>
    <w:rsid w:val="0087799E"/>
    <w:rsid w:val="00877BF6"/>
    <w:rsid w:val="00877C36"/>
    <w:rsid w:val="00877F14"/>
    <w:rsid w:val="0088088B"/>
    <w:rsid w:val="00880B1F"/>
    <w:rsid w:val="00880F2E"/>
    <w:rsid w:val="00881293"/>
    <w:rsid w:val="00882529"/>
    <w:rsid w:val="008828DF"/>
    <w:rsid w:val="00882B21"/>
    <w:rsid w:val="00882B27"/>
    <w:rsid w:val="00882B4F"/>
    <w:rsid w:val="00883285"/>
    <w:rsid w:val="00883511"/>
    <w:rsid w:val="00883647"/>
    <w:rsid w:val="00883D2C"/>
    <w:rsid w:val="00883DA9"/>
    <w:rsid w:val="00884374"/>
    <w:rsid w:val="00884B56"/>
    <w:rsid w:val="0088529E"/>
    <w:rsid w:val="0088543C"/>
    <w:rsid w:val="00885A3A"/>
    <w:rsid w:val="00885C3B"/>
    <w:rsid w:val="0088620F"/>
    <w:rsid w:val="00886419"/>
    <w:rsid w:val="00886967"/>
    <w:rsid w:val="00886B72"/>
    <w:rsid w:val="008870E9"/>
    <w:rsid w:val="008879AE"/>
    <w:rsid w:val="00887C05"/>
    <w:rsid w:val="008907C1"/>
    <w:rsid w:val="008924E1"/>
    <w:rsid w:val="0089294D"/>
    <w:rsid w:val="00892AD9"/>
    <w:rsid w:val="00892FFC"/>
    <w:rsid w:val="008935C8"/>
    <w:rsid w:val="0089369C"/>
    <w:rsid w:val="0089370E"/>
    <w:rsid w:val="00893CD9"/>
    <w:rsid w:val="008941D2"/>
    <w:rsid w:val="00894346"/>
    <w:rsid w:val="008949F6"/>
    <w:rsid w:val="008951F9"/>
    <w:rsid w:val="00895314"/>
    <w:rsid w:val="008954AB"/>
    <w:rsid w:val="008959D9"/>
    <w:rsid w:val="00895D4A"/>
    <w:rsid w:val="0089616E"/>
    <w:rsid w:val="008961CE"/>
    <w:rsid w:val="008961D2"/>
    <w:rsid w:val="008962EC"/>
    <w:rsid w:val="008968BB"/>
    <w:rsid w:val="008969FF"/>
    <w:rsid w:val="00896B12"/>
    <w:rsid w:val="008971A3"/>
    <w:rsid w:val="0089759D"/>
    <w:rsid w:val="00897B3A"/>
    <w:rsid w:val="00897EE7"/>
    <w:rsid w:val="008A0075"/>
    <w:rsid w:val="008A0471"/>
    <w:rsid w:val="008A097F"/>
    <w:rsid w:val="008A09EC"/>
    <w:rsid w:val="008A0D79"/>
    <w:rsid w:val="008A0DFC"/>
    <w:rsid w:val="008A0FE6"/>
    <w:rsid w:val="008A142F"/>
    <w:rsid w:val="008A1635"/>
    <w:rsid w:val="008A1665"/>
    <w:rsid w:val="008A205E"/>
    <w:rsid w:val="008A2171"/>
    <w:rsid w:val="008A23FC"/>
    <w:rsid w:val="008A26BE"/>
    <w:rsid w:val="008A2F0B"/>
    <w:rsid w:val="008A3076"/>
    <w:rsid w:val="008A3099"/>
    <w:rsid w:val="008A3801"/>
    <w:rsid w:val="008A39C7"/>
    <w:rsid w:val="008A439B"/>
    <w:rsid w:val="008A4841"/>
    <w:rsid w:val="008A4A9D"/>
    <w:rsid w:val="008A4B5E"/>
    <w:rsid w:val="008A4DC7"/>
    <w:rsid w:val="008A50EE"/>
    <w:rsid w:val="008A5156"/>
    <w:rsid w:val="008A526A"/>
    <w:rsid w:val="008A5394"/>
    <w:rsid w:val="008A54E5"/>
    <w:rsid w:val="008A5962"/>
    <w:rsid w:val="008A596F"/>
    <w:rsid w:val="008A5A1F"/>
    <w:rsid w:val="008A5C8B"/>
    <w:rsid w:val="008A6024"/>
    <w:rsid w:val="008A6495"/>
    <w:rsid w:val="008A65CB"/>
    <w:rsid w:val="008A67DE"/>
    <w:rsid w:val="008A6B06"/>
    <w:rsid w:val="008A6E9D"/>
    <w:rsid w:val="008A701B"/>
    <w:rsid w:val="008A7C9B"/>
    <w:rsid w:val="008A7CDB"/>
    <w:rsid w:val="008A7F68"/>
    <w:rsid w:val="008B0132"/>
    <w:rsid w:val="008B025E"/>
    <w:rsid w:val="008B048B"/>
    <w:rsid w:val="008B04CE"/>
    <w:rsid w:val="008B0D5E"/>
    <w:rsid w:val="008B116C"/>
    <w:rsid w:val="008B1435"/>
    <w:rsid w:val="008B1FF6"/>
    <w:rsid w:val="008B21D6"/>
    <w:rsid w:val="008B233E"/>
    <w:rsid w:val="008B2A67"/>
    <w:rsid w:val="008B2AE3"/>
    <w:rsid w:val="008B2D5C"/>
    <w:rsid w:val="008B2E25"/>
    <w:rsid w:val="008B30C6"/>
    <w:rsid w:val="008B3192"/>
    <w:rsid w:val="008B3B06"/>
    <w:rsid w:val="008B3B10"/>
    <w:rsid w:val="008B3BA7"/>
    <w:rsid w:val="008B3CCB"/>
    <w:rsid w:val="008B3F67"/>
    <w:rsid w:val="008B494B"/>
    <w:rsid w:val="008B4ACA"/>
    <w:rsid w:val="008B4C3C"/>
    <w:rsid w:val="008B4F7C"/>
    <w:rsid w:val="008B5096"/>
    <w:rsid w:val="008B51CE"/>
    <w:rsid w:val="008B5814"/>
    <w:rsid w:val="008B5967"/>
    <w:rsid w:val="008B5A7B"/>
    <w:rsid w:val="008B63FE"/>
    <w:rsid w:val="008B6CB6"/>
    <w:rsid w:val="008B6D32"/>
    <w:rsid w:val="008B6F2A"/>
    <w:rsid w:val="008B72A0"/>
    <w:rsid w:val="008B7F53"/>
    <w:rsid w:val="008C03EF"/>
    <w:rsid w:val="008C0A1E"/>
    <w:rsid w:val="008C17F2"/>
    <w:rsid w:val="008C1A15"/>
    <w:rsid w:val="008C2038"/>
    <w:rsid w:val="008C24CC"/>
    <w:rsid w:val="008C24D3"/>
    <w:rsid w:val="008C26B4"/>
    <w:rsid w:val="008C27B0"/>
    <w:rsid w:val="008C2F54"/>
    <w:rsid w:val="008C332B"/>
    <w:rsid w:val="008C33F5"/>
    <w:rsid w:val="008C34E3"/>
    <w:rsid w:val="008C3B62"/>
    <w:rsid w:val="008C3C28"/>
    <w:rsid w:val="008C3DC3"/>
    <w:rsid w:val="008C409E"/>
    <w:rsid w:val="008C42E6"/>
    <w:rsid w:val="008C44C3"/>
    <w:rsid w:val="008C46C6"/>
    <w:rsid w:val="008C4C3D"/>
    <w:rsid w:val="008C56AA"/>
    <w:rsid w:val="008C58F0"/>
    <w:rsid w:val="008C5DB0"/>
    <w:rsid w:val="008C5DB6"/>
    <w:rsid w:val="008C6033"/>
    <w:rsid w:val="008C60D9"/>
    <w:rsid w:val="008C6676"/>
    <w:rsid w:val="008C6BF4"/>
    <w:rsid w:val="008C70DB"/>
    <w:rsid w:val="008C72E0"/>
    <w:rsid w:val="008C7E2A"/>
    <w:rsid w:val="008D04FF"/>
    <w:rsid w:val="008D079F"/>
    <w:rsid w:val="008D083E"/>
    <w:rsid w:val="008D0BBC"/>
    <w:rsid w:val="008D0E33"/>
    <w:rsid w:val="008D0F16"/>
    <w:rsid w:val="008D1601"/>
    <w:rsid w:val="008D1718"/>
    <w:rsid w:val="008D1D36"/>
    <w:rsid w:val="008D1F00"/>
    <w:rsid w:val="008D2426"/>
    <w:rsid w:val="008D28A2"/>
    <w:rsid w:val="008D2E3B"/>
    <w:rsid w:val="008D30EB"/>
    <w:rsid w:val="008D3978"/>
    <w:rsid w:val="008D3E3D"/>
    <w:rsid w:val="008D41B1"/>
    <w:rsid w:val="008D422B"/>
    <w:rsid w:val="008D474D"/>
    <w:rsid w:val="008D4C68"/>
    <w:rsid w:val="008D4DF3"/>
    <w:rsid w:val="008D5CEB"/>
    <w:rsid w:val="008D5DC1"/>
    <w:rsid w:val="008D63D4"/>
    <w:rsid w:val="008D65B3"/>
    <w:rsid w:val="008D6C5A"/>
    <w:rsid w:val="008D70C0"/>
    <w:rsid w:val="008D71B1"/>
    <w:rsid w:val="008D7242"/>
    <w:rsid w:val="008D77CA"/>
    <w:rsid w:val="008D7A36"/>
    <w:rsid w:val="008D7D36"/>
    <w:rsid w:val="008E00BB"/>
    <w:rsid w:val="008E01C9"/>
    <w:rsid w:val="008E0CFA"/>
    <w:rsid w:val="008E0DFF"/>
    <w:rsid w:val="008E10BF"/>
    <w:rsid w:val="008E12E9"/>
    <w:rsid w:val="008E14EA"/>
    <w:rsid w:val="008E16D6"/>
    <w:rsid w:val="008E22BD"/>
    <w:rsid w:val="008E250B"/>
    <w:rsid w:val="008E2949"/>
    <w:rsid w:val="008E3ED9"/>
    <w:rsid w:val="008E4364"/>
    <w:rsid w:val="008E4605"/>
    <w:rsid w:val="008E4E98"/>
    <w:rsid w:val="008E5428"/>
    <w:rsid w:val="008E54F7"/>
    <w:rsid w:val="008E57FD"/>
    <w:rsid w:val="008E5B52"/>
    <w:rsid w:val="008E61A6"/>
    <w:rsid w:val="008E63FF"/>
    <w:rsid w:val="008E669B"/>
    <w:rsid w:val="008E6A4A"/>
    <w:rsid w:val="008E6E95"/>
    <w:rsid w:val="008E6ECF"/>
    <w:rsid w:val="008E70BD"/>
    <w:rsid w:val="008E7F1B"/>
    <w:rsid w:val="008F0121"/>
    <w:rsid w:val="008F04F0"/>
    <w:rsid w:val="008F05C4"/>
    <w:rsid w:val="008F0A00"/>
    <w:rsid w:val="008F0B60"/>
    <w:rsid w:val="008F153A"/>
    <w:rsid w:val="008F1601"/>
    <w:rsid w:val="008F1B19"/>
    <w:rsid w:val="008F202B"/>
    <w:rsid w:val="008F27E2"/>
    <w:rsid w:val="008F2B33"/>
    <w:rsid w:val="008F3376"/>
    <w:rsid w:val="008F3B13"/>
    <w:rsid w:val="008F3B5E"/>
    <w:rsid w:val="008F3C02"/>
    <w:rsid w:val="008F3CB4"/>
    <w:rsid w:val="008F3F35"/>
    <w:rsid w:val="008F3FA8"/>
    <w:rsid w:val="008F4176"/>
    <w:rsid w:val="008F42ED"/>
    <w:rsid w:val="008F4C37"/>
    <w:rsid w:val="008F4D12"/>
    <w:rsid w:val="008F5035"/>
    <w:rsid w:val="008F5301"/>
    <w:rsid w:val="008F5561"/>
    <w:rsid w:val="008F599E"/>
    <w:rsid w:val="008F5ABA"/>
    <w:rsid w:val="008F5B25"/>
    <w:rsid w:val="008F5BFF"/>
    <w:rsid w:val="008F5CBF"/>
    <w:rsid w:val="008F6678"/>
    <w:rsid w:val="008F7897"/>
    <w:rsid w:val="008F7CBB"/>
    <w:rsid w:val="00900442"/>
    <w:rsid w:val="00900852"/>
    <w:rsid w:val="00900FE6"/>
    <w:rsid w:val="009011DB"/>
    <w:rsid w:val="009015A0"/>
    <w:rsid w:val="009015DE"/>
    <w:rsid w:val="0090160A"/>
    <w:rsid w:val="0090172E"/>
    <w:rsid w:val="00901815"/>
    <w:rsid w:val="00901DF8"/>
    <w:rsid w:val="009029EA"/>
    <w:rsid w:val="009030B5"/>
    <w:rsid w:val="00903521"/>
    <w:rsid w:val="009039E3"/>
    <w:rsid w:val="00903B27"/>
    <w:rsid w:val="00904097"/>
    <w:rsid w:val="00904524"/>
    <w:rsid w:val="009046AE"/>
    <w:rsid w:val="00905680"/>
    <w:rsid w:val="00905685"/>
    <w:rsid w:val="00905886"/>
    <w:rsid w:val="00905969"/>
    <w:rsid w:val="00905CF4"/>
    <w:rsid w:val="00905D84"/>
    <w:rsid w:val="00905E4B"/>
    <w:rsid w:val="00905E5A"/>
    <w:rsid w:val="0090606E"/>
    <w:rsid w:val="009061F7"/>
    <w:rsid w:val="00906210"/>
    <w:rsid w:val="00906799"/>
    <w:rsid w:val="0090683A"/>
    <w:rsid w:val="00906BB1"/>
    <w:rsid w:val="00906C49"/>
    <w:rsid w:val="00906F28"/>
    <w:rsid w:val="009070EF"/>
    <w:rsid w:val="00907562"/>
    <w:rsid w:val="0090763E"/>
    <w:rsid w:val="00907662"/>
    <w:rsid w:val="00910614"/>
    <w:rsid w:val="00910B51"/>
    <w:rsid w:val="00911031"/>
    <w:rsid w:val="00911DE4"/>
    <w:rsid w:val="00911F35"/>
    <w:rsid w:val="009120DE"/>
    <w:rsid w:val="009120F1"/>
    <w:rsid w:val="0091221D"/>
    <w:rsid w:val="00912BB5"/>
    <w:rsid w:val="00912C72"/>
    <w:rsid w:val="00913299"/>
    <w:rsid w:val="009132ED"/>
    <w:rsid w:val="00913C63"/>
    <w:rsid w:val="00913E6F"/>
    <w:rsid w:val="00914088"/>
    <w:rsid w:val="009140AA"/>
    <w:rsid w:val="00914200"/>
    <w:rsid w:val="00914880"/>
    <w:rsid w:val="0091492A"/>
    <w:rsid w:val="009153F7"/>
    <w:rsid w:val="009156FD"/>
    <w:rsid w:val="009164BC"/>
    <w:rsid w:val="00916513"/>
    <w:rsid w:val="00916623"/>
    <w:rsid w:val="00916AC5"/>
    <w:rsid w:val="00916D8A"/>
    <w:rsid w:val="00916E5E"/>
    <w:rsid w:val="00916F55"/>
    <w:rsid w:val="00920494"/>
    <w:rsid w:val="009205F7"/>
    <w:rsid w:val="00920B05"/>
    <w:rsid w:val="00921478"/>
    <w:rsid w:val="009217E7"/>
    <w:rsid w:val="009224E6"/>
    <w:rsid w:val="00922656"/>
    <w:rsid w:val="00922C16"/>
    <w:rsid w:val="009233B1"/>
    <w:rsid w:val="009238FF"/>
    <w:rsid w:val="009239E8"/>
    <w:rsid w:val="009242BD"/>
    <w:rsid w:val="00924E21"/>
    <w:rsid w:val="00925049"/>
    <w:rsid w:val="0092506F"/>
    <w:rsid w:val="0092540D"/>
    <w:rsid w:val="0092548D"/>
    <w:rsid w:val="0092638B"/>
    <w:rsid w:val="00926496"/>
    <w:rsid w:val="00926967"/>
    <w:rsid w:val="00926BF8"/>
    <w:rsid w:val="00926F58"/>
    <w:rsid w:val="00926FBF"/>
    <w:rsid w:val="00927262"/>
    <w:rsid w:val="00927597"/>
    <w:rsid w:val="009279B1"/>
    <w:rsid w:val="00927D13"/>
    <w:rsid w:val="00927DC0"/>
    <w:rsid w:val="00930365"/>
    <w:rsid w:val="00930802"/>
    <w:rsid w:val="00930C80"/>
    <w:rsid w:val="00931001"/>
    <w:rsid w:val="00931232"/>
    <w:rsid w:val="009319E9"/>
    <w:rsid w:val="00931BF9"/>
    <w:rsid w:val="00931E7D"/>
    <w:rsid w:val="009320B7"/>
    <w:rsid w:val="0093288B"/>
    <w:rsid w:val="009330D3"/>
    <w:rsid w:val="00933601"/>
    <w:rsid w:val="009337E8"/>
    <w:rsid w:val="00933937"/>
    <w:rsid w:val="00933976"/>
    <w:rsid w:val="009340F4"/>
    <w:rsid w:val="009344A2"/>
    <w:rsid w:val="00934967"/>
    <w:rsid w:val="00934E66"/>
    <w:rsid w:val="0093503A"/>
    <w:rsid w:val="00935BFB"/>
    <w:rsid w:val="009360ED"/>
    <w:rsid w:val="00936BDA"/>
    <w:rsid w:val="00936DDF"/>
    <w:rsid w:val="00936DF6"/>
    <w:rsid w:val="00936F72"/>
    <w:rsid w:val="0093734B"/>
    <w:rsid w:val="00937A76"/>
    <w:rsid w:val="00937FB3"/>
    <w:rsid w:val="009403C0"/>
    <w:rsid w:val="0094047F"/>
    <w:rsid w:val="009404D6"/>
    <w:rsid w:val="00940722"/>
    <w:rsid w:val="0094086E"/>
    <w:rsid w:val="009409AA"/>
    <w:rsid w:val="00940C1C"/>
    <w:rsid w:val="00940C64"/>
    <w:rsid w:val="0094134B"/>
    <w:rsid w:val="00941EC8"/>
    <w:rsid w:val="00941FE9"/>
    <w:rsid w:val="0094223D"/>
    <w:rsid w:val="009427C1"/>
    <w:rsid w:val="00942DD3"/>
    <w:rsid w:val="00942DE4"/>
    <w:rsid w:val="0094372A"/>
    <w:rsid w:val="00943D18"/>
    <w:rsid w:val="00943D2E"/>
    <w:rsid w:val="00943D8A"/>
    <w:rsid w:val="00943F11"/>
    <w:rsid w:val="009441D2"/>
    <w:rsid w:val="00944530"/>
    <w:rsid w:val="00944902"/>
    <w:rsid w:val="009449E5"/>
    <w:rsid w:val="00944F13"/>
    <w:rsid w:val="0094508E"/>
    <w:rsid w:val="00945948"/>
    <w:rsid w:val="00945B9C"/>
    <w:rsid w:val="00945BB0"/>
    <w:rsid w:val="00945CAE"/>
    <w:rsid w:val="00945F5B"/>
    <w:rsid w:val="0094680D"/>
    <w:rsid w:val="00946E4F"/>
    <w:rsid w:val="00947205"/>
    <w:rsid w:val="009473A5"/>
    <w:rsid w:val="00947B6B"/>
    <w:rsid w:val="00947D66"/>
    <w:rsid w:val="00947DB9"/>
    <w:rsid w:val="00947E5F"/>
    <w:rsid w:val="00950D88"/>
    <w:rsid w:val="009510C9"/>
    <w:rsid w:val="009515C6"/>
    <w:rsid w:val="00951A7D"/>
    <w:rsid w:val="00952978"/>
    <w:rsid w:val="00953264"/>
    <w:rsid w:val="00953393"/>
    <w:rsid w:val="009533FE"/>
    <w:rsid w:val="00953416"/>
    <w:rsid w:val="00953433"/>
    <w:rsid w:val="009537E4"/>
    <w:rsid w:val="009539A0"/>
    <w:rsid w:val="00953CCC"/>
    <w:rsid w:val="00953EF6"/>
    <w:rsid w:val="00954054"/>
    <w:rsid w:val="009546F4"/>
    <w:rsid w:val="0095470B"/>
    <w:rsid w:val="00954761"/>
    <w:rsid w:val="00955115"/>
    <w:rsid w:val="009552C0"/>
    <w:rsid w:val="00955399"/>
    <w:rsid w:val="00955A6E"/>
    <w:rsid w:val="00955BA3"/>
    <w:rsid w:val="00955DAB"/>
    <w:rsid w:val="009564AA"/>
    <w:rsid w:val="009565F4"/>
    <w:rsid w:val="00956916"/>
    <w:rsid w:val="00956A00"/>
    <w:rsid w:val="00956EF5"/>
    <w:rsid w:val="00956F81"/>
    <w:rsid w:val="009570EC"/>
    <w:rsid w:val="0095787C"/>
    <w:rsid w:val="009602AC"/>
    <w:rsid w:val="00960797"/>
    <w:rsid w:val="00960C2B"/>
    <w:rsid w:val="00960D25"/>
    <w:rsid w:val="00960DC6"/>
    <w:rsid w:val="00961294"/>
    <w:rsid w:val="009612D5"/>
    <w:rsid w:val="009619B1"/>
    <w:rsid w:val="00961AF5"/>
    <w:rsid w:val="00961B6E"/>
    <w:rsid w:val="00961D7A"/>
    <w:rsid w:val="00961E6C"/>
    <w:rsid w:val="00962237"/>
    <w:rsid w:val="009623AF"/>
    <w:rsid w:val="00962505"/>
    <w:rsid w:val="009629B5"/>
    <w:rsid w:val="00962D19"/>
    <w:rsid w:val="009633B7"/>
    <w:rsid w:val="00964409"/>
    <w:rsid w:val="00964E5D"/>
    <w:rsid w:val="009651CA"/>
    <w:rsid w:val="009658F6"/>
    <w:rsid w:val="00965A7D"/>
    <w:rsid w:val="00965D2F"/>
    <w:rsid w:val="00965F29"/>
    <w:rsid w:val="0096684E"/>
    <w:rsid w:val="00966B6B"/>
    <w:rsid w:val="00966BCD"/>
    <w:rsid w:val="00967058"/>
    <w:rsid w:val="009670A8"/>
    <w:rsid w:val="009672E2"/>
    <w:rsid w:val="00967616"/>
    <w:rsid w:val="00967B00"/>
    <w:rsid w:val="00967D10"/>
    <w:rsid w:val="00967DD2"/>
    <w:rsid w:val="00970361"/>
    <w:rsid w:val="0097057F"/>
    <w:rsid w:val="00970D0D"/>
    <w:rsid w:val="00970E6E"/>
    <w:rsid w:val="00970F94"/>
    <w:rsid w:val="0097143D"/>
    <w:rsid w:val="00971520"/>
    <w:rsid w:val="00971FA9"/>
    <w:rsid w:val="0097207F"/>
    <w:rsid w:val="009729C7"/>
    <w:rsid w:val="009729D8"/>
    <w:rsid w:val="00973516"/>
    <w:rsid w:val="009736F8"/>
    <w:rsid w:val="0097378C"/>
    <w:rsid w:val="009738F1"/>
    <w:rsid w:val="00973B8C"/>
    <w:rsid w:val="00973DB1"/>
    <w:rsid w:val="00974334"/>
    <w:rsid w:val="00974D81"/>
    <w:rsid w:val="00975109"/>
    <w:rsid w:val="00975125"/>
    <w:rsid w:val="00975158"/>
    <w:rsid w:val="0097557A"/>
    <w:rsid w:val="00975947"/>
    <w:rsid w:val="00975E95"/>
    <w:rsid w:val="0097617F"/>
    <w:rsid w:val="009776FF"/>
    <w:rsid w:val="0097796C"/>
    <w:rsid w:val="00977F99"/>
    <w:rsid w:val="00980220"/>
    <w:rsid w:val="00980404"/>
    <w:rsid w:val="00980525"/>
    <w:rsid w:val="00980AE8"/>
    <w:rsid w:val="00980B03"/>
    <w:rsid w:val="0098129C"/>
    <w:rsid w:val="00981333"/>
    <w:rsid w:val="009818C3"/>
    <w:rsid w:val="0098246D"/>
    <w:rsid w:val="00982555"/>
    <w:rsid w:val="00983323"/>
    <w:rsid w:val="009839CA"/>
    <w:rsid w:val="00983F56"/>
    <w:rsid w:val="0098415C"/>
    <w:rsid w:val="0098473E"/>
    <w:rsid w:val="00984E85"/>
    <w:rsid w:val="00985160"/>
    <w:rsid w:val="00985C50"/>
    <w:rsid w:val="0098612F"/>
    <w:rsid w:val="0098620C"/>
    <w:rsid w:val="00986D74"/>
    <w:rsid w:val="00986FBE"/>
    <w:rsid w:val="00987141"/>
    <w:rsid w:val="009876D8"/>
    <w:rsid w:val="00987763"/>
    <w:rsid w:val="009878BB"/>
    <w:rsid w:val="00990169"/>
    <w:rsid w:val="009907AE"/>
    <w:rsid w:val="00990E2E"/>
    <w:rsid w:val="00990E3A"/>
    <w:rsid w:val="00990E63"/>
    <w:rsid w:val="009913A4"/>
    <w:rsid w:val="00991A7B"/>
    <w:rsid w:val="00991C1B"/>
    <w:rsid w:val="00992381"/>
    <w:rsid w:val="00992982"/>
    <w:rsid w:val="00992BEF"/>
    <w:rsid w:val="00992CBF"/>
    <w:rsid w:val="00992DC5"/>
    <w:rsid w:val="00992E1E"/>
    <w:rsid w:val="00993BFE"/>
    <w:rsid w:val="00993DDA"/>
    <w:rsid w:val="00993F31"/>
    <w:rsid w:val="00993F78"/>
    <w:rsid w:val="00994057"/>
    <w:rsid w:val="00994062"/>
    <w:rsid w:val="00994334"/>
    <w:rsid w:val="0099440B"/>
    <w:rsid w:val="00994551"/>
    <w:rsid w:val="0099462D"/>
    <w:rsid w:val="00995074"/>
    <w:rsid w:val="0099538A"/>
    <w:rsid w:val="009954CB"/>
    <w:rsid w:val="00995739"/>
    <w:rsid w:val="00995A01"/>
    <w:rsid w:val="00995C40"/>
    <w:rsid w:val="00995FC0"/>
    <w:rsid w:val="009961C7"/>
    <w:rsid w:val="00996235"/>
    <w:rsid w:val="0099633C"/>
    <w:rsid w:val="0099685F"/>
    <w:rsid w:val="009968B0"/>
    <w:rsid w:val="00996C9A"/>
    <w:rsid w:val="00996F0F"/>
    <w:rsid w:val="009973AA"/>
    <w:rsid w:val="009A0006"/>
    <w:rsid w:val="009A01E1"/>
    <w:rsid w:val="009A02EC"/>
    <w:rsid w:val="009A03CC"/>
    <w:rsid w:val="009A04F0"/>
    <w:rsid w:val="009A10F9"/>
    <w:rsid w:val="009A15B0"/>
    <w:rsid w:val="009A1725"/>
    <w:rsid w:val="009A1D9C"/>
    <w:rsid w:val="009A1F54"/>
    <w:rsid w:val="009A2517"/>
    <w:rsid w:val="009A25D0"/>
    <w:rsid w:val="009A319A"/>
    <w:rsid w:val="009A3523"/>
    <w:rsid w:val="009A3601"/>
    <w:rsid w:val="009A373F"/>
    <w:rsid w:val="009A3B5E"/>
    <w:rsid w:val="009A3DE0"/>
    <w:rsid w:val="009A4906"/>
    <w:rsid w:val="009A4E39"/>
    <w:rsid w:val="009A53F8"/>
    <w:rsid w:val="009A548B"/>
    <w:rsid w:val="009A5724"/>
    <w:rsid w:val="009A57FB"/>
    <w:rsid w:val="009A5817"/>
    <w:rsid w:val="009A5A1A"/>
    <w:rsid w:val="009A5B0D"/>
    <w:rsid w:val="009A6655"/>
    <w:rsid w:val="009A6AFA"/>
    <w:rsid w:val="009A6FEB"/>
    <w:rsid w:val="009B0539"/>
    <w:rsid w:val="009B0575"/>
    <w:rsid w:val="009B07B1"/>
    <w:rsid w:val="009B15BC"/>
    <w:rsid w:val="009B1CF2"/>
    <w:rsid w:val="009B1CFC"/>
    <w:rsid w:val="009B232E"/>
    <w:rsid w:val="009B2533"/>
    <w:rsid w:val="009B2F56"/>
    <w:rsid w:val="009B39FB"/>
    <w:rsid w:val="009B3A11"/>
    <w:rsid w:val="009B42B5"/>
    <w:rsid w:val="009B42DA"/>
    <w:rsid w:val="009B435D"/>
    <w:rsid w:val="009B4B45"/>
    <w:rsid w:val="009B4C02"/>
    <w:rsid w:val="009B4C34"/>
    <w:rsid w:val="009B521C"/>
    <w:rsid w:val="009B5392"/>
    <w:rsid w:val="009B560D"/>
    <w:rsid w:val="009B568C"/>
    <w:rsid w:val="009B6057"/>
    <w:rsid w:val="009B650D"/>
    <w:rsid w:val="009B69A2"/>
    <w:rsid w:val="009B6F54"/>
    <w:rsid w:val="009B72C7"/>
    <w:rsid w:val="009B7333"/>
    <w:rsid w:val="009B7363"/>
    <w:rsid w:val="009B738B"/>
    <w:rsid w:val="009C0055"/>
    <w:rsid w:val="009C020E"/>
    <w:rsid w:val="009C04B3"/>
    <w:rsid w:val="009C0834"/>
    <w:rsid w:val="009C0A57"/>
    <w:rsid w:val="009C0B41"/>
    <w:rsid w:val="009C0C59"/>
    <w:rsid w:val="009C0EE9"/>
    <w:rsid w:val="009C10A5"/>
    <w:rsid w:val="009C18E4"/>
    <w:rsid w:val="009C1AA5"/>
    <w:rsid w:val="009C1B31"/>
    <w:rsid w:val="009C1C26"/>
    <w:rsid w:val="009C1D82"/>
    <w:rsid w:val="009C1E4E"/>
    <w:rsid w:val="009C1ED1"/>
    <w:rsid w:val="009C1F07"/>
    <w:rsid w:val="009C2086"/>
    <w:rsid w:val="009C2C0C"/>
    <w:rsid w:val="009C2FE9"/>
    <w:rsid w:val="009C3095"/>
    <w:rsid w:val="009C30EB"/>
    <w:rsid w:val="009C32EE"/>
    <w:rsid w:val="009C3443"/>
    <w:rsid w:val="009C39C2"/>
    <w:rsid w:val="009C426E"/>
    <w:rsid w:val="009C4647"/>
    <w:rsid w:val="009C47D6"/>
    <w:rsid w:val="009C5711"/>
    <w:rsid w:val="009C584D"/>
    <w:rsid w:val="009C5E5C"/>
    <w:rsid w:val="009C5F82"/>
    <w:rsid w:val="009C6562"/>
    <w:rsid w:val="009C6D00"/>
    <w:rsid w:val="009C6F85"/>
    <w:rsid w:val="009C7A33"/>
    <w:rsid w:val="009C7AB4"/>
    <w:rsid w:val="009D0176"/>
    <w:rsid w:val="009D01D8"/>
    <w:rsid w:val="009D0BA8"/>
    <w:rsid w:val="009D0C9B"/>
    <w:rsid w:val="009D1AF6"/>
    <w:rsid w:val="009D273E"/>
    <w:rsid w:val="009D28FB"/>
    <w:rsid w:val="009D2B67"/>
    <w:rsid w:val="009D2BA7"/>
    <w:rsid w:val="009D2BB6"/>
    <w:rsid w:val="009D2E2E"/>
    <w:rsid w:val="009D3968"/>
    <w:rsid w:val="009D3F38"/>
    <w:rsid w:val="009D3FF3"/>
    <w:rsid w:val="009D40AC"/>
    <w:rsid w:val="009D417B"/>
    <w:rsid w:val="009D4660"/>
    <w:rsid w:val="009D4D86"/>
    <w:rsid w:val="009D5400"/>
    <w:rsid w:val="009D540A"/>
    <w:rsid w:val="009D5B5D"/>
    <w:rsid w:val="009D630C"/>
    <w:rsid w:val="009D64F6"/>
    <w:rsid w:val="009D676F"/>
    <w:rsid w:val="009D72D3"/>
    <w:rsid w:val="009D760F"/>
    <w:rsid w:val="009D784E"/>
    <w:rsid w:val="009D7A02"/>
    <w:rsid w:val="009D7BA0"/>
    <w:rsid w:val="009D7C12"/>
    <w:rsid w:val="009D7F7A"/>
    <w:rsid w:val="009E0AF0"/>
    <w:rsid w:val="009E0B1C"/>
    <w:rsid w:val="009E0FB3"/>
    <w:rsid w:val="009E111D"/>
    <w:rsid w:val="009E2296"/>
    <w:rsid w:val="009E26E7"/>
    <w:rsid w:val="009E2A66"/>
    <w:rsid w:val="009E3ACB"/>
    <w:rsid w:val="009E3BD1"/>
    <w:rsid w:val="009E4283"/>
    <w:rsid w:val="009E45DD"/>
    <w:rsid w:val="009E48D1"/>
    <w:rsid w:val="009E4ABC"/>
    <w:rsid w:val="009E4B7B"/>
    <w:rsid w:val="009E4DA8"/>
    <w:rsid w:val="009E4EAC"/>
    <w:rsid w:val="009E4FDA"/>
    <w:rsid w:val="009E5113"/>
    <w:rsid w:val="009E525C"/>
    <w:rsid w:val="009E54F4"/>
    <w:rsid w:val="009E58C0"/>
    <w:rsid w:val="009E5A20"/>
    <w:rsid w:val="009E5B5D"/>
    <w:rsid w:val="009E5C9F"/>
    <w:rsid w:val="009E6277"/>
    <w:rsid w:val="009E6353"/>
    <w:rsid w:val="009E66B4"/>
    <w:rsid w:val="009E677F"/>
    <w:rsid w:val="009E6DB8"/>
    <w:rsid w:val="009E71E1"/>
    <w:rsid w:val="009E722F"/>
    <w:rsid w:val="009E7552"/>
    <w:rsid w:val="009E78A3"/>
    <w:rsid w:val="009F0A34"/>
    <w:rsid w:val="009F0D2E"/>
    <w:rsid w:val="009F160F"/>
    <w:rsid w:val="009F1A61"/>
    <w:rsid w:val="009F1D1E"/>
    <w:rsid w:val="009F1DC9"/>
    <w:rsid w:val="009F1E96"/>
    <w:rsid w:val="009F2252"/>
    <w:rsid w:val="009F2A79"/>
    <w:rsid w:val="009F317F"/>
    <w:rsid w:val="009F33D8"/>
    <w:rsid w:val="009F34D0"/>
    <w:rsid w:val="009F384F"/>
    <w:rsid w:val="009F3D05"/>
    <w:rsid w:val="009F3E67"/>
    <w:rsid w:val="009F3E75"/>
    <w:rsid w:val="009F4092"/>
    <w:rsid w:val="009F453F"/>
    <w:rsid w:val="009F4ED9"/>
    <w:rsid w:val="009F51F0"/>
    <w:rsid w:val="009F5521"/>
    <w:rsid w:val="009F5687"/>
    <w:rsid w:val="009F58DA"/>
    <w:rsid w:val="009F5C1D"/>
    <w:rsid w:val="009F5F52"/>
    <w:rsid w:val="009F6722"/>
    <w:rsid w:val="009F68ED"/>
    <w:rsid w:val="009F6A3F"/>
    <w:rsid w:val="009F6FF8"/>
    <w:rsid w:val="009F75EC"/>
    <w:rsid w:val="009F7945"/>
    <w:rsid w:val="009F7E9C"/>
    <w:rsid w:val="00A01754"/>
    <w:rsid w:val="00A027A3"/>
    <w:rsid w:val="00A027E0"/>
    <w:rsid w:val="00A029CB"/>
    <w:rsid w:val="00A029D7"/>
    <w:rsid w:val="00A029F1"/>
    <w:rsid w:val="00A02DAD"/>
    <w:rsid w:val="00A02E19"/>
    <w:rsid w:val="00A02FE4"/>
    <w:rsid w:val="00A033AD"/>
    <w:rsid w:val="00A03BA1"/>
    <w:rsid w:val="00A04062"/>
    <w:rsid w:val="00A04275"/>
    <w:rsid w:val="00A04299"/>
    <w:rsid w:val="00A04757"/>
    <w:rsid w:val="00A0596D"/>
    <w:rsid w:val="00A059A1"/>
    <w:rsid w:val="00A05C7A"/>
    <w:rsid w:val="00A068F7"/>
    <w:rsid w:val="00A06B97"/>
    <w:rsid w:val="00A06C98"/>
    <w:rsid w:val="00A071A4"/>
    <w:rsid w:val="00A074A9"/>
    <w:rsid w:val="00A075B9"/>
    <w:rsid w:val="00A07A95"/>
    <w:rsid w:val="00A07AB6"/>
    <w:rsid w:val="00A07CE8"/>
    <w:rsid w:val="00A07D96"/>
    <w:rsid w:val="00A103D8"/>
    <w:rsid w:val="00A105F6"/>
    <w:rsid w:val="00A111AC"/>
    <w:rsid w:val="00A11492"/>
    <w:rsid w:val="00A118E5"/>
    <w:rsid w:val="00A11C08"/>
    <w:rsid w:val="00A11D7C"/>
    <w:rsid w:val="00A12204"/>
    <w:rsid w:val="00A128BB"/>
    <w:rsid w:val="00A12AEA"/>
    <w:rsid w:val="00A12E3E"/>
    <w:rsid w:val="00A135F4"/>
    <w:rsid w:val="00A139A3"/>
    <w:rsid w:val="00A14756"/>
    <w:rsid w:val="00A15A78"/>
    <w:rsid w:val="00A16EAE"/>
    <w:rsid w:val="00A16F27"/>
    <w:rsid w:val="00A17837"/>
    <w:rsid w:val="00A17CD6"/>
    <w:rsid w:val="00A20208"/>
    <w:rsid w:val="00A2022F"/>
    <w:rsid w:val="00A207AB"/>
    <w:rsid w:val="00A209C4"/>
    <w:rsid w:val="00A209D4"/>
    <w:rsid w:val="00A21FF5"/>
    <w:rsid w:val="00A22DAE"/>
    <w:rsid w:val="00A23063"/>
    <w:rsid w:val="00A230F6"/>
    <w:rsid w:val="00A23160"/>
    <w:rsid w:val="00A236B4"/>
    <w:rsid w:val="00A23B70"/>
    <w:rsid w:val="00A23C13"/>
    <w:rsid w:val="00A242BE"/>
    <w:rsid w:val="00A2492A"/>
    <w:rsid w:val="00A25C75"/>
    <w:rsid w:val="00A26073"/>
    <w:rsid w:val="00A263FB"/>
    <w:rsid w:val="00A264E5"/>
    <w:rsid w:val="00A26574"/>
    <w:rsid w:val="00A2675C"/>
    <w:rsid w:val="00A268B7"/>
    <w:rsid w:val="00A26D68"/>
    <w:rsid w:val="00A26E18"/>
    <w:rsid w:val="00A26E47"/>
    <w:rsid w:val="00A27637"/>
    <w:rsid w:val="00A2766A"/>
    <w:rsid w:val="00A30CEF"/>
    <w:rsid w:val="00A31031"/>
    <w:rsid w:val="00A313BF"/>
    <w:rsid w:val="00A31644"/>
    <w:rsid w:val="00A327B2"/>
    <w:rsid w:val="00A337D6"/>
    <w:rsid w:val="00A343C4"/>
    <w:rsid w:val="00A34916"/>
    <w:rsid w:val="00A34BCD"/>
    <w:rsid w:val="00A34D06"/>
    <w:rsid w:val="00A34E2D"/>
    <w:rsid w:val="00A34E86"/>
    <w:rsid w:val="00A351A4"/>
    <w:rsid w:val="00A351FA"/>
    <w:rsid w:val="00A354C0"/>
    <w:rsid w:val="00A3562A"/>
    <w:rsid w:val="00A357C7"/>
    <w:rsid w:val="00A35D2A"/>
    <w:rsid w:val="00A361DC"/>
    <w:rsid w:val="00A368CF"/>
    <w:rsid w:val="00A36A61"/>
    <w:rsid w:val="00A3707F"/>
    <w:rsid w:val="00A37192"/>
    <w:rsid w:val="00A3774E"/>
    <w:rsid w:val="00A37907"/>
    <w:rsid w:val="00A37A7D"/>
    <w:rsid w:val="00A37D0A"/>
    <w:rsid w:val="00A37E4B"/>
    <w:rsid w:val="00A37E9B"/>
    <w:rsid w:val="00A40088"/>
    <w:rsid w:val="00A40AA3"/>
    <w:rsid w:val="00A40E02"/>
    <w:rsid w:val="00A40F01"/>
    <w:rsid w:val="00A413D9"/>
    <w:rsid w:val="00A41D52"/>
    <w:rsid w:val="00A42269"/>
    <w:rsid w:val="00A42271"/>
    <w:rsid w:val="00A42905"/>
    <w:rsid w:val="00A42BFD"/>
    <w:rsid w:val="00A42EE8"/>
    <w:rsid w:val="00A437D4"/>
    <w:rsid w:val="00A43815"/>
    <w:rsid w:val="00A439C3"/>
    <w:rsid w:val="00A43ADF"/>
    <w:rsid w:val="00A43B38"/>
    <w:rsid w:val="00A43B67"/>
    <w:rsid w:val="00A43D93"/>
    <w:rsid w:val="00A44517"/>
    <w:rsid w:val="00A4496E"/>
    <w:rsid w:val="00A44AFC"/>
    <w:rsid w:val="00A44B9A"/>
    <w:rsid w:val="00A44E5C"/>
    <w:rsid w:val="00A45197"/>
    <w:rsid w:val="00A45211"/>
    <w:rsid w:val="00A4551E"/>
    <w:rsid w:val="00A45520"/>
    <w:rsid w:val="00A46152"/>
    <w:rsid w:val="00A46444"/>
    <w:rsid w:val="00A46F40"/>
    <w:rsid w:val="00A4708B"/>
    <w:rsid w:val="00A47674"/>
    <w:rsid w:val="00A476D0"/>
    <w:rsid w:val="00A504CD"/>
    <w:rsid w:val="00A50590"/>
    <w:rsid w:val="00A50E3D"/>
    <w:rsid w:val="00A50F04"/>
    <w:rsid w:val="00A510E2"/>
    <w:rsid w:val="00A5172B"/>
    <w:rsid w:val="00A52390"/>
    <w:rsid w:val="00A52B64"/>
    <w:rsid w:val="00A52ED3"/>
    <w:rsid w:val="00A5386D"/>
    <w:rsid w:val="00A538A3"/>
    <w:rsid w:val="00A538B9"/>
    <w:rsid w:val="00A53BAA"/>
    <w:rsid w:val="00A54050"/>
    <w:rsid w:val="00A5427A"/>
    <w:rsid w:val="00A54857"/>
    <w:rsid w:val="00A54A2D"/>
    <w:rsid w:val="00A54DBA"/>
    <w:rsid w:val="00A55836"/>
    <w:rsid w:val="00A561A3"/>
    <w:rsid w:val="00A562B9"/>
    <w:rsid w:val="00A56C18"/>
    <w:rsid w:val="00A57009"/>
    <w:rsid w:val="00A571A8"/>
    <w:rsid w:val="00A57689"/>
    <w:rsid w:val="00A579AA"/>
    <w:rsid w:val="00A57A72"/>
    <w:rsid w:val="00A57D16"/>
    <w:rsid w:val="00A6020C"/>
    <w:rsid w:val="00A60271"/>
    <w:rsid w:val="00A60305"/>
    <w:rsid w:val="00A60CD7"/>
    <w:rsid w:val="00A613BC"/>
    <w:rsid w:val="00A6155B"/>
    <w:rsid w:val="00A617EB"/>
    <w:rsid w:val="00A62107"/>
    <w:rsid w:val="00A62609"/>
    <w:rsid w:val="00A62E66"/>
    <w:rsid w:val="00A63305"/>
    <w:rsid w:val="00A63787"/>
    <w:rsid w:val="00A637FD"/>
    <w:rsid w:val="00A63A89"/>
    <w:rsid w:val="00A63ABE"/>
    <w:rsid w:val="00A64A72"/>
    <w:rsid w:val="00A64C92"/>
    <w:rsid w:val="00A64D6D"/>
    <w:rsid w:val="00A65C4B"/>
    <w:rsid w:val="00A67038"/>
    <w:rsid w:val="00A6715D"/>
    <w:rsid w:val="00A675E8"/>
    <w:rsid w:val="00A7088F"/>
    <w:rsid w:val="00A70D7C"/>
    <w:rsid w:val="00A715D6"/>
    <w:rsid w:val="00A71935"/>
    <w:rsid w:val="00A71AD6"/>
    <w:rsid w:val="00A72505"/>
    <w:rsid w:val="00A7291F"/>
    <w:rsid w:val="00A73305"/>
    <w:rsid w:val="00A734F3"/>
    <w:rsid w:val="00A735EE"/>
    <w:rsid w:val="00A7382D"/>
    <w:rsid w:val="00A73A5F"/>
    <w:rsid w:val="00A7456C"/>
    <w:rsid w:val="00A745B0"/>
    <w:rsid w:val="00A74A1F"/>
    <w:rsid w:val="00A74D2A"/>
    <w:rsid w:val="00A74D95"/>
    <w:rsid w:val="00A7505E"/>
    <w:rsid w:val="00A75097"/>
    <w:rsid w:val="00A755D4"/>
    <w:rsid w:val="00A75C78"/>
    <w:rsid w:val="00A7655F"/>
    <w:rsid w:val="00A7671C"/>
    <w:rsid w:val="00A76A91"/>
    <w:rsid w:val="00A76CA6"/>
    <w:rsid w:val="00A76F06"/>
    <w:rsid w:val="00A80334"/>
    <w:rsid w:val="00A807A2"/>
    <w:rsid w:val="00A80805"/>
    <w:rsid w:val="00A80933"/>
    <w:rsid w:val="00A80A24"/>
    <w:rsid w:val="00A81A8D"/>
    <w:rsid w:val="00A82008"/>
    <w:rsid w:val="00A8236D"/>
    <w:rsid w:val="00A8282A"/>
    <w:rsid w:val="00A8284D"/>
    <w:rsid w:val="00A828D6"/>
    <w:rsid w:val="00A82DAD"/>
    <w:rsid w:val="00A83594"/>
    <w:rsid w:val="00A83732"/>
    <w:rsid w:val="00A83995"/>
    <w:rsid w:val="00A83C62"/>
    <w:rsid w:val="00A83CD3"/>
    <w:rsid w:val="00A83D76"/>
    <w:rsid w:val="00A83F8E"/>
    <w:rsid w:val="00A84616"/>
    <w:rsid w:val="00A849A0"/>
    <w:rsid w:val="00A849CB"/>
    <w:rsid w:val="00A850EE"/>
    <w:rsid w:val="00A85405"/>
    <w:rsid w:val="00A85893"/>
    <w:rsid w:val="00A86791"/>
    <w:rsid w:val="00A8681D"/>
    <w:rsid w:val="00A868F8"/>
    <w:rsid w:val="00A86A18"/>
    <w:rsid w:val="00A86D9F"/>
    <w:rsid w:val="00A8756C"/>
    <w:rsid w:val="00A87924"/>
    <w:rsid w:val="00A90E8E"/>
    <w:rsid w:val="00A90FA0"/>
    <w:rsid w:val="00A9189D"/>
    <w:rsid w:val="00A91B76"/>
    <w:rsid w:val="00A91BFE"/>
    <w:rsid w:val="00A91D6B"/>
    <w:rsid w:val="00A92889"/>
    <w:rsid w:val="00A9296E"/>
    <w:rsid w:val="00A92E41"/>
    <w:rsid w:val="00A934E7"/>
    <w:rsid w:val="00A93618"/>
    <w:rsid w:val="00A9395A"/>
    <w:rsid w:val="00A9441F"/>
    <w:rsid w:val="00A94699"/>
    <w:rsid w:val="00A948EE"/>
    <w:rsid w:val="00A94E6F"/>
    <w:rsid w:val="00A9526E"/>
    <w:rsid w:val="00A95536"/>
    <w:rsid w:val="00A957B3"/>
    <w:rsid w:val="00A9641C"/>
    <w:rsid w:val="00A965B0"/>
    <w:rsid w:val="00A96CEF"/>
    <w:rsid w:val="00A974F1"/>
    <w:rsid w:val="00A97754"/>
    <w:rsid w:val="00A97893"/>
    <w:rsid w:val="00A97923"/>
    <w:rsid w:val="00A979EA"/>
    <w:rsid w:val="00A97F1C"/>
    <w:rsid w:val="00AA00BC"/>
    <w:rsid w:val="00AA04DF"/>
    <w:rsid w:val="00AA0666"/>
    <w:rsid w:val="00AA11D0"/>
    <w:rsid w:val="00AA1877"/>
    <w:rsid w:val="00AA1934"/>
    <w:rsid w:val="00AA1BB6"/>
    <w:rsid w:val="00AA209F"/>
    <w:rsid w:val="00AA24B4"/>
    <w:rsid w:val="00AA2BBE"/>
    <w:rsid w:val="00AA3119"/>
    <w:rsid w:val="00AA35A0"/>
    <w:rsid w:val="00AA3FDA"/>
    <w:rsid w:val="00AA4129"/>
    <w:rsid w:val="00AA46FB"/>
    <w:rsid w:val="00AA55EF"/>
    <w:rsid w:val="00AA5E4D"/>
    <w:rsid w:val="00AA60B7"/>
    <w:rsid w:val="00AA6515"/>
    <w:rsid w:val="00AA65A9"/>
    <w:rsid w:val="00AA66F3"/>
    <w:rsid w:val="00AA6FC1"/>
    <w:rsid w:val="00AA72F3"/>
    <w:rsid w:val="00AA73F2"/>
    <w:rsid w:val="00AA745F"/>
    <w:rsid w:val="00AA7719"/>
    <w:rsid w:val="00AB00AC"/>
    <w:rsid w:val="00AB010D"/>
    <w:rsid w:val="00AB02EF"/>
    <w:rsid w:val="00AB05B5"/>
    <w:rsid w:val="00AB06E6"/>
    <w:rsid w:val="00AB0A75"/>
    <w:rsid w:val="00AB1450"/>
    <w:rsid w:val="00AB1508"/>
    <w:rsid w:val="00AB15A7"/>
    <w:rsid w:val="00AB162E"/>
    <w:rsid w:val="00AB21C6"/>
    <w:rsid w:val="00AB21DC"/>
    <w:rsid w:val="00AB23D2"/>
    <w:rsid w:val="00AB28C4"/>
    <w:rsid w:val="00AB297D"/>
    <w:rsid w:val="00AB2C5A"/>
    <w:rsid w:val="00AB3384"/>
    <w:rsid w:val="00AB3A5D"/>
    <w:rsid w:val="00AB3E88"/>
    <w:rsid w:val="00AB448C"/>
    <w:rsid w:val="00AB459D"/>
    <w:rsid w:val="00AB4883"/>
    <w:rsid w:val="00AB4995"/>
    <w:rsid w:val="00AB4D88"/>
    <w:rsid w:val="00AB4FA6"/>
    <w:rsid w:val="00AB5143"/>
    <w:rsid w:val="00AB52DC"/>
    <w:rsid w:val="00AB5D13"/>
    <w:rsid w:val="00AB5F16"/>
    <w:rsid w:val="00AB604C"/>
    <w:rsid w:val="00AB633A"/>
    <w:rsid w:val="00AB65C2"/>
    <w:rsid w:val="00AB7071"/>
    <w:rsid w:val="00AB728E"/>
    <w:rsid w:val="00AB7BC1"/>
    <w:rsid w:val="00AC01FA"/>
    <w:rsid w:val="00AC04C7"/>
    <w:rsid w:val="00AC06C3"/>
    <w:rsid w:val="00AC1106"/>
    <w:rsid w:val="00AC1446"/>
    <w:rsid w:val="00AC234D"/>
    <w:rsid w:val="00AC2398"/>
    <w:rsid w:val="00AC2925"/>
    <w:rsid w:val="00AC296D"/>
    <w:rsid w:val="00AC32FC"/>
    <w:rsid w:val="00AC38AF"/>
    <w:rsid w:val="00AC394A"/>
    <w:rsid w:val="00AC3E2B"/>
    <w:rsid w:val="00AC3FD4"/>
    <w:rsid w:val="00AC40B8"/>
    <w:rsid w:val="00AC4344"/>
    <w:rsid w:val="00AC49A7"/>
    <w:rsid w:val="00AC548C"/>
    <w:rsid w:val="00AC579C"/>
    <w:rsid w:val="00AC58F7"/>
    <w:rsid w:val="00AC5965"/>
    <w:rsid w:val="00AC5FC6"/>
    <w:rsid w:val="00AC5FCC"/>
    <w:rsid w:val="00AC60F3"/>
    <w:rsid w:val="00AC6811"/>
    <w:rsid w:val="00AC6940"/>
    <w:rsid w:val="00AC6966"/>
    <w:rsid w:val="00AC6DAF"/>
    <w:rsid w:val="00AC6F1D"/>
    <w:rsid w:val="00AC7B0E"/>
    <w:rsid w:val="00AD073C"/>
    <w:rsid w:val="00AD10CB"/>
    <w:rsid w:val="00AD14C5"/>
    <w:rsid w:val="00AD176B"/>
    <w:rsid w:val="00AD1AFA"/>
    <w:rsid w:val="00AD1DF9"/>
    <w:rsid w:val="00AD2790"/>
    <w:rsid w:val="00AD2C65"/>
    <w:rsid w:val="00AD3586"/>
    <w:rsid w:val="00AD3A37"/>
    <w:rsid w:val="00AD41CB"/>
    <w:rsid w:val="00AD49E1"/>
    <w:rsid w:val="00AD545D"/>
    <w:rsid w:val="00AD598D"/>
    <w:rsid w:val="00AD59A0"/>
    <w:rsid w:val="00AD5D2C"/>
    <w:rsid w:val="00AD5EF2"/>
    <w:rsid w:val="00AD66F3"/>
    <w:rsid w:val="00AD6708"/>
    <w:rsid w:val="00AD7B7C"/>
    <w:rsid w:val="00AD7E94"/>
    <w:rsid w:val="00AD7EC8"/>
    <w:rsid w:val="00AE041F"/>
    <w:rsid w:val="00AE0BDA"/>
    <w:rsid w:val="00AE1533"/>
    <w:rsid w:val="00AE15D8"/>
    <w:rsid w:val="00AE1724"/>
    <w:rsid w:val="00AE25CA"/>
    <w:rsid w:val="00AE29BE"/>
    <w:rsid w:val="00AE29FC"/>
    <w:rsid w:val="00AE2B1A"/>
    <w:rsid w:val="00AE2CDB"/>
    <w:rsid w:val="00AE30A8"/>
    <w:rsid w:val="00AE4423"/>
    <w:rsid w:val="00AE452C"/>
    <w:rsid w:val="00AE4AB6"/>
    <w:rsid w:val="00AE4E04"/>
    <w:rsid w:val="00AE520D"/>
    <w:rsid w:val="00AE57AA"/>
    <w:rsid w:val="00AE5DB3"/>
    <w:rsid w:val="00AE6140"/>
    <w:rsid w:val="00AE644B"/>
    <w:rsid w:val="00AE6780"/>
    <w:rsid w:val="00AE6893"/>
    <w:rsid w:val="00AE68B4"/>
    <w:rsid w:val="00AE6DA8"/>
    <w:rsid w:val="00AE7006"/>
    <w:rsid w:val="00AE76D3"/>
    <w:rsid w:val="00AE78EE"/>
    <w:rsid w:val="00AF0ABA"/>
    <w:rsid w:val="00AF0B58"/>
    <w:rsid w:val="00AF13DC"/>
    <w:rsid w:val="00AF146F"/>
    <w:rsid w:val="00AF176A"/>
    <w:rsid w:val="00AF1CA3"/>
    <w:rsid w:val="00AF1DC1"/>
    <w:rsid w:val="00AF24DC"/>
    <w:rsid w:val="00AF264B"/>
    <w:rsid w:val="00AF2DF1"/>
    <w:rsid w:val="00AF3AEF"/>
    <w:rsid w:val="00AF4104"/>
    <w:rsid w:val="00AF428F"/>
    <w:rsid w:val="00AF45A4"/>
    <w:rsid w:val="00AF472A"/>
    <w:rsid w:val="00AF4E87"/>
    <w:rsid w:val="00AF5480"/>
    <w:rsid w:val="00AF5971"/>
    <w:rsid w:val="00AF6060"/>
    <w:rsid w:val="00AF60E9"/>
    <w:rsid w:val="00AF6413"/>
    <w:rsid w:val="00AF6602"/>
    <w:rsid w:val="00AF6675"/>
    <w:rsid w:val="00B00415"/>
    <w:rsid w:val="00B00678"/>
    <w:rsid w:val="00B00D4E"/>
    <w:rsid w:val="00B01D7B"/>
    <w:rsid w:val="00B01DCF"/>
    <w:rsid w:val="00B01EE4"/>
    <w:rsid w:val="00B0218B"/>
    <w:rsid w:val="00B023A4"/>
    <w:rsid w:val="00B02D01"/>
    <w:rsid w:val="00B0314E"/>
    <w:rsid w:val="00B0335E"/>
    <w:rsid w:val="00B03572"/>
    <w:rsid w:val="00B04009"/>
    <w:rsid w:val="00B04D62"/>
    <w:rsid w:val="00B0596C"/>
    <w:rsid w:val="00B06462"/>
    <w:rsid w:val="00B064FF"/>
    <w:rsid w:val="00B06788"/>
    <w:rsid w:val="00B0680E"/>
    <w:rsid w:val="00B06FDD"/>
    <w:rsid w:val="00B0706E"/>
    <w:rsid w:val="00B07274"/>
    <w:rsid w:val="00B074A9"/>
    <w:rsid w:val="00B074E3"/>
    <w:rsid w:val="00B0765E"/>
    <w:rsid w:val="00B078CB"/>
    <w:rsid w:val="00B07D3D"/>
    <w:rsid w:val="00B07E8B"/>
    <w:rsid w:val="00B100A1"/>
    <w:rsid w:val="00B10271"/>
    <w:rsid w:val="00B102AD"/>
    <w:rsid w:val="00B10762"/>
    <w:rsid w:val="00B10851"/>
    <w:rsid w:val="00B112B8"/>
    <w:rsid w:val="00B113F0"/>
    <w:rsid w:val="00B11989"/>
    <w:rsid w:val="00B12CE1"/>
    <w:rsid w:val="00B13467"/>
    <w:rsid w:val="00B139CF"/>
    <w:rsid w:val="00B139FE"/>
    <w:rsid w:val="00B13BBB"/>
    <w:rsid w:val="00B14202"/>
    <w:rsid w:val="00B145E4"/>
    <w:rsid w:val="00B145F4"/>
    <w:rsid w:val="00B146E5"/>
    <w:rsid w:val="00B14B28"/>
    <w:rsid w:val="00B14CD0"/>
    <w:rsid w:val="00B15D90"/>
    <w:rsid w:val="00B15FAA"/>
    <w:rsid w:val="00B163D3"/>
    <w:rsid w:val="00B167FC"/>
    <w:rsid w:val="00B16803"/>
    <w:rsid w:val="00B1696A"/>
    <w:rsid w:val="00B16B77"/>
    <w:rsid w:val="00B16C61"/>
    <w:rsid w:val="00B1713F"/>
    <w:rsid w:val="00B17333"/>
    <w:rsid w:val="00B175C6"/>
    <w:rsid w:val="00B1760F"/>
    <w:rsid w:val="00B1786E"/>
    <w:rsid w:val="00B1787F"/>
    <w:rsid w:val="00B17FBA"/>
    <w:rsid w:val="00B200A1"/>
    <w:rsid w:val="00B200EB"/>
    <w:rsid w:val="00B20235"/>
    <w:rsid w:val="00B20CC6"/>
    <w:rsid w:val="00B21C88"/>
    <w:rsid w:val="00B22083"/>
    <w:rsid w:val="00B226CB"/>
    <w:rsid w:val="00B22910"/>
    <w:rsid w:val="00B22A14"/>
    <w:rsid w:val="00B234E1"/>
    <w:rsid w:val="00B2392C"/>
    <w:rsid w:val="00B23ED4"/>
    <w:rsid w:val="00B243BC"/>
    <w:rsid w:val="00B24770"/>
    <w:rsid w:val="00B2581B"/>
    <w:rsid w:val="00B25D12"/>
    <w:rsid w:val="00B25DDB"/>
    <w:rsid w:val="00B261C6"/>
    <w:rsid w:val="00B26676"/>
    <w:rsid w:val="00B26AFA"/>
    <w:rsid w:val="00B275B8"/>
    <w:rsid w:val="00B27748"/>
    <w:rsid w:val="00B27B2B"/>
    <w:rsid w:val="00B27BF5"/>
    <w:rsid w:val="00B27D3D"/>
    <w:rsid w:val="00B3011D"/>
    <w:rsid w:val="00B30241"/>
    <w:rsid w:val="00B305BD"/>
    <w:rsid w:val="00B30658"/>
    <w:rsid w:val="00B30976"/>
    <w:rsid w:val="00B313BA"/>
    <w:rsid w:val="00B31AD8"/>
    <w:rsid w:val="00B32100"/>
    <w:rsid w:val="00B32122"/>
    <w:rsid w:val="00B3225D"/>
    <w:rsid w:val="00B322B4"/>
    <w:rsid w:val="00B322DC"/>
    <w:rsid w:val="00B32403"/>
    <w:rsid w:val="00B32AEE"/>
    <w:rsid w:val="00B32B1D"/>
    <w:rsid w:val="00B32EE6"/>
    <w:rsid w:val="00B33281"/>
    <w:rsid w:val="00B33521"/>
    <w:rsid w:val="00B33AD1"/>
    <w:rsid w:val="00B33E2A"/>
    <w:rsid w:val="00B34157"/>
    <w:rsid w:val="00B34308"/>
    <w:rsid w:val="00B3462D"/>
    <w:rsid w:val="00B347F1"/>
    <w:rsid w:val="00B34826"/>
    <w:rsid w:val="00B34A7E"/>
    <w:rsid w:val="00B34D92"/>
    <w:rsid w:val="00B352BE"/>
    <w:rsid w:val="00B35950"/>
    <w:rsid w:val="00B361BC"/>
    <w:rsid w:val="00B3628F"/>
    <w:rsid w:val="00B3694D"/>
    <w:rsid w:val="00B36BDF"/>
    <w:rsid w:val="00B3711F"/>
    <w:rsid w:val="00B40087"/>
    <w:rsid w:val="00B4077B"/>
    <w:rsid w:val="00B40A86"/>
    <w:rsid w:val="00B40CC0"/>
    <w:rsid w:val="00B40DBB"/>
    <w:rsid w:val="00B40F02"/>
    <w:rsid w:val="00B41218"/>
    <w:rsid w:val="00B41882"/>
    <w:rsid w:val="00B41E02"/>
    <w:rsid w:val="00B41E79"/>
    <w:rsid w:val="00B424FB"/>
    <w:rsid w:val="00B427D3"/>
    <w:rsid w:val="00B42859"/>
    <w:rsid w:val="00B42B0B"/>
    <w:rsid w:val="00B42F54"/>
    <w:rsid w:val="00B434C2"/>
    <w:rsid w:val="00B43A0E"/>
    <w:rsid w:val="00B43AC9"/>
    <w:rsid w:val="00B43C44"/>
    <w:rsid w:val="00B43EB1"/>
    <w:rsid w:val="00B445F7"/>
    <w:rsid w:val="00B447A5"/>
    <w:rsid w:val="00B44A6C"/>
    <w:rsid w:val="00B44F58"/>
    <w:rsid w:val="00B450C0"/>
    <w:rsid w:val="00B450D5"/>
    <w:rsid w:val="00B4510A"/>
    <w:rsid w:val="00B45361"/>
    <w:rsid w:val="00B4542A"/>
    <w:rsid w:val="00B457EB"/>
    <w:rsid w:val="00B460AE"/>
    <w:rsid w:val="00B465E6"/>
    <w:rsid w:val="00B4682D"/>
    <w:rsid w:val="00B46AC2"/>
    <w:rsid w:val="00B46E63"/>
    <w:rsid w:val="00B47224"/>
    <w:rsid w:val="00B4769A"/>
    <w:rsid w:val="00B47FD6"/>
    <w:rsid w:val="00B502E5"/>
    <w:rsid w:val="00B509BE"/>
    <w:rsid w:val="00B50F16"/>
    <w:rsid w:val="00B50F18"/>
    <w:rsid w:val="00B51349"/>
    <w:rsid w:val="00B517B6"/>
    <w:rsid w:val="00B51D02"/>
    <w:rsid w:val="00B52098"/>
    <w:rsid w:val="00B520E8"/>
    <w:rsid w:val="00B5253E"/>
    <w:rsid w:val="00B5264E"/>
    <w:rsid w:val="00B52835"/>
    <w:rsid w:val="00B528FE"/>
    <w:rsid w:val="00B52940"/>
    <w:rsid w:val="00B52A22"/>
    <w:rsid w:val="00B52B7A"/>
    <w:rsid w:val="00B52BC2"/>
    <w:rsid w:val="00B52F3E"/>
    <w:rsid w:val="00B532B4"/>
    <w:rsid w:val="00B53367"/>
    <w:rsid w:val="00B542EE"/>
    <w:rsid w:val="00B54348"/>
    <w:rsid w:val="00B54BF9"/>
    <w:rsid w:val="00B5530D"/>
    <w:rsid w:val="00B555E2"/>
    <w:rsid w:val="00B55828"/>
    <w:rsid w:val="00B5642C"/>
    <w:rsid w:val="00B5647C"/>
    <w:rsid w:val="00B56773"/>
    <w:rsid w:val="00B568A2"/>
    <w:rsid w:val="00B57041"/>
    <w:rsid w:val="00B573D4"/>
    <w:rsid w:val="00B57C25"/>
    <w:rsid w:val="00B57C87"/>
    <w:rsid w:val="00B57CD6"/>
    <w:rsid w:val="00B60517"/>
    <w:rsid w:val="00B60818"/>
    <w:rsid w:val="00B60D6D"/>
    <w:rsid w:val="00B613A3"/>
    <w:rsid w:val="00B61422"/>
    <w:rsid w:val="00B619B9"/>
    <w:rsid w:val="00B61FB0"/>
    <w:rsid w:val="00B6240F"/>
    <w:rsid w:val="00B62CBE"/>
    <w:rsid w:val="00B62D65"/>
    <w:rsid w:val="00B6308E"/>
    <w:rsid w:val="00B63499"/>
    <w:rsid w:val="00B6366B"/>
    <w:rsid w:val="00B63996"/>
    <w:rsid w:val="00B63D67"/>
    <w:rsid w:val="00B6483C"/>
    <w:rsid w:val="00B64B7D"/>
    <w:rsid w:val="00B64D50"/>
    <w:rsid w:val="00B65165"/>
    <w:rsid w:val="00B651F4"/>
    <w:rsid w:val="00B65687"/>
    <w:rsid w:val="00B659F1"/>
    <w:rsid w:val="00B65B5D"/>
    <w:rsid w:val="00B66182"/>
    <w:rsid w:val="00B66503"/>
    <w:rsid w:val="00B66534"/>
    <w:rsid w:val="00B66953"/>
    <w:rsid w:val="00B669C1"/>
    <w:rsid w:val="00B67257"/>
    <w:rsid w:val="00B679F5"/>
    <w:rsid w:val="00B67AB5"/>
    <w:rsid w:val="00B70005"/>
    <w:rsid w:val="00B701E1"/>
    <w:rsid w:val="00B70AFA"/>
    <w:rsid w:val="00B712B3"/>
    <w:rsid w:val="00B71760"/>
    <w:rsid w:val="00B71DA5"/>
    <w:rsid w:val="00B72190"/>
    <w:rsid w:val="00B729B1"/>
    <w:rsid w:val="00B72EF6"/>
    <w:rsid w:val="00B7318B"/>
    <w:rsid w:val="00B738B9"/>
    <w:rsid w:val="00B7406D"/>
    <w:rsid w:val="00B7467D"/>
    <w:rsid w:val="00B7497A"/>
    <w:rsid w:val="00B74D97"/>
    <w:rsid w:val="00B74DF2"/>
    <w:rsid w:val="00B74E1F"/>
    <w:rsid w:val="00B74FFC"/>
    <w:rsid w:val="00B7508B"/>
    <w:rsid w:val="00B75BC5"/>
    <w:rsid w:val="00B75D9D"/>
    <w:rsid w:val="00B761DC"/>
    <w:rsid w:val="00B772C1"/>
    <w:rsid w:val="00B77312"/>
    <w:rsid w:val="00B77413"/>
    <w:rsid w:val="00B77437"/>
    <w:rsid w:val="00B77915"/>
    <w:rsid w:val="00B7796C"/>
    <w:rsid w:val="00B77D74"/>
    <w:rsid w:val="00B80330"/>
    <w:rsid w:val="00B80406"/>
    <w:rsid w:val="00B810E7"/>
    <w:rsid w:val="00B81473"/>
    <w:rsid w:val="00B81517"/>
    <w:rsid w:val="00B81583"/>
    <w:rsid w:val="00B816AB"/>
    <w:rsid w:val="00B817CB"/>
    <w:rsid w:val="00B81F6F"/>
    <w:rsid w:val="00B821A6"/>
    <w:rsid w:val="00B821ED"/>
    <w:rsid w:val="00B82C22"/>
    <w:rsid w:val="00B82F82"/>
    <w:rsid w:val="00B831A6"/>
    <w:rsid w:val="00B83D04"/>
    <w:rsid w:val="00B84104"/>
    <w:rsid w:val="00B845BF"/>
    <w:rsid w:val="00B84A9F"/>
    <w:rsid w:val="00B84DCE"/>
    <w:rsid w:val="00B84F71"/>
    <w:rsid w:val="00B853BC"/>
    <w:rsid w:val="00B857CF"/>
    <w:rsid w:val="00B8590B"/>
    <w:rsid w:val="00B85B0A"/>
    <w:rsid w:val="00B85CCC"/>
    <w:rsid w:val="00B85D08"/>
    <w:rsid w:val="00B866B9"/>
    <w:rsid w:val="00B86E8B"/>
    <w:rsid w:val="00B875B6"/>
    <w:rsid w:val="00B87B61"/>
    <w:rsid w:val="00B87D55"/>
    <w:rsid w:val="00B908C7"/>
    <w:rsid w:val="00B908CA"/>
    <w:rsid w:val="00B90EAF"/>
    <w:rsid w:val="00B91932"/>
    <w:rsid w:val="00B91B36"/>
    <w:rsid w:val="00B91B7D"/>
    <w:rsid w:val="00B91DA1"/>
    <w:rsid w:val="00B91F3C"/>
    <w:rsid w:val="00B9219B"/>
    <w:rsid w:val="00B92886"/>
    <w:rsid w:val="00B92BA9"/>
    <w:rsid w:val="00B9339F"/>
    <w:rsid w:val="00B93411"/>
    <w:rsid w:val="00B93ABB"/>
    <w:rsid w:val="00B94A8B"/>
    <w:rsid w:val="00B954C7"/>
    <w:rsid w:val="00B95547"/>
    <w:rsid w:val="00B955F0"/>
    <w:rsid w:val="00B95A0C"/>
    <w:rsid w:val="00B95E96"/>
    <w:rsid w:val="00B963A0"/>
    <w:rsid w:val="00B96C14"/>
    <w:rsid w:val="00B96D53"/>
    <w:rsid w:val="00B9721D"/>
    <w:rsid w:val="00B97999"/>
    <w:rsid w:val="00BA070B"/>
    <w:rsid w:val="00BA0DDA"/>
    <w:rsid w:val="00BA13DB"/>
    <w:rsid w:val="00BA15E0"/>
    <w:rsid w:val="00BA1F2F"/>
    <w:rsid w:val="00BA1F85"/>
    <w:rsid w:val="00BA2090"/>
    <w:rsid w:val="00BA2138"/>
    <w:rsid w:val="00BA21DC"/>
    <w:rsid w:val="00BA21E6"/>
    <w:rsid w:val="00BA244D"/>
    <w:rsid w:val="00BA2D0E"/>
    <w:rsid w:val="00BA2E6B"/>
    <w:rsid w:val="00BA3A88"/>
    <w:rsid w:val="00BA4C36"/>
    <w:rsid w:val="00BA4DFD"/>
    <w:rsid w:val="00BA51D1"/>
    <w:rsid w:val="00BA54BA"/>
    <w:rsid w:val="00BA55E4"/>
    <w:rsid w:val="00BA597B"/>
    <w:rsid w:val="00BA5A5C"/>
    <w:rsid w:val="00BA5AF5"/>
    <w:rsid w:val="00BA6230"/>
    <w:rsid w:val="00BA6A67"/>
    <w:rsid w:val="00BA6AAE"/>
    <w:rsid w:val="00BA7A30"/>
    <w:rsid w:val="00BA7C25"/>
    <w:rsid w:val="00BA7E76"/>
    <w:rsid w:val="00BB0400"/>
    <w:rsid w:val="00BB0406"/>
    <w:rsid w:val="00BB0558"/>
    <w:rsid w:val="00BB0653"/>
    <w:rsid w:val="00BB06F5"/>
    <w:rsid w:val="00BB0862"/>
    <w:rsid w:val="00BB099D"/>
    <w:rsid w:val="00BB114D"/>
    <w:rsid w:val="00BB1404"/>
    <w:rsid w:val="00BB3007"/>
    <w:rsid w:val="00BB31D3"/>
    <w:rsid w:val="00BB340A"/>
    <w:rsid w:val="00BB34EC"/>
    <w:rsid w:val="00BB3513"/>
    <w:rsid w:val="00BB3691"/>
    <w:rsid w:val="00BB38C5"/>
    <w:rsid w:val="00BB4063"/>
    <w:rsid w:val="00BB409F"/>
    <w:rsid w:val="00BB426A"/>
    <w:rsid w:val="00BB51ED"/>
    <w:rsid w:val="00BB5DA9"/>
    <w:rsid w:val="00BB5FAF"/>
    <w:rsid w:val="00BB606D"/>
    <w:rsid w:val="00BB63AC"/>
    <w:rsid w:val="00BB653E"/>
    <w:rsid w:val="00BB67D1"/>
    <w:rsid w:val="00BB6808"/>
    <w:rsid w:val="00BB6B66"/>
    <w:rsid w:val="00BB7013"/>
    <w:rsid w:val="00BC03EE"/>
    <w:rsid w:val="00BC05BE"/>
    <w:rsid w:val="00BC0C33"/>
    <w:rsid w:val="00BC0F5F"/>
    <w:rsid w:val="00BC1A1E"/>
    <w:rsid w:val="00BC1A7A"/>
    <w:rsid w:val="00BC1BB8"/>
    <w:rsid w:val="00BC1C4F"/>
    <w:rsid w:val="00BC1D44"/>
    <w:rsid w:val="00BC24B8"/>
    <w:rsid w:val="00BC2E81"/>
    <w:rsid w:val="00BC30EB"/>
    <w:rsid w:val="00BC3554"/>
    <w:rsid w:val="00BC3626"/>
    <w:rsid w:val="00BC3D5D"/>
    <w:rsid w:val="00BC3E63"/>
    <w:rsid w:val="00BC4003"/>
    <w:rsid w:val="00BC40D7"/>
    <w:rsid w:val="00BC4465"/>
    <w:rsid w:val="00BC45D8"/>
    <w:rsid w:val="00BC4948"/>
    <w:rsid w:val="00BC4B82"/>
    <w:rsid w:val="00BC4E48"/>
    <w:rsid w:val="00BC4F41"/>
    <w:rsid w:val="00BC5921"/>
    <w:rsid w:val="00BC6617"/>
    <w:rsid w:val="00BC6D43"/>
    <w:rsid w:val="00BC6EEA"/>
    <w:rsid w:val="00BD02C6"/>
    <w:rsid w:val="00BD0378"/>
    <w:rsid w:val="00BD04F9"/>
    <w:rsid w:val="00BD0519"/>
    <w:rsid w:val="00BD0A85"/>
    <w:rsid w:val="00BD0B1D"/>
    <w:rsid w:val="00BD1343"/>
    <w:rsid w:val="00BD13C0"/>
    <w:rsid w:val="00BD166A"/>
    <w:rsid w:val="00BD1AFD"/>
    <w:rsid w:val="00BD20E6"/>
    <w:rsid w:val="00BD218E"/>
    <w:rsid w:val="00BD2986"/>
    <w:rsid w:val="00BD3075"/>
    <w:rsid w:val="00BD30AF"/>
    <w:rsid w:val="00BD388E"/>
    <w:rsid w:val="00BD3BF7"/>
    <w:rsid w:val="00BD426F"/>
    <w:rsid w:val="00BD46C6"/>
    <w:rsid w:val="00BD49A8"/>
    <w:rsid w:val="00BD4A0A"/>
    <w:rsid w:val="00BD4F59"/>
    <w:rsid w:val="00BD4FD7"/>
    <w:rsid w:val="00BD50F9"/>
    <w:rsid w:val="00BD528F"/>
    <w:rsid w:val="00BD6986"/>
    <w:rsid w:val="00BD6F75"/>
    <w:rsid w:val="00BD7447"/>
    <w:rsid w:val="00BD7BAC"/>
    <w:rsid w:val="00BE0EE9"/>
    <w:rsid w:val="00BE16F4"/>
    <w:rsid w:val="00BE19F0"/>
    <w:rsid w:val="00BE21AB"/>
    <w:rsid w:val="00BE27B7"/>
    <w:rsid w:val="00BE2986"/>
    <w:rsid w:val="00BE2D74"/>
    <w:rsid w:val="00BE35BF"/>
    <w:rsid w:val="00BE398E"/>
    <w:rsid w:val="00BE3B61"/>
    <w:rsid w:val="00BE3C0B"/>
    <w:rsid w:val="00BE3DFB"/>
    <w:rsid w:val="00BE443D"/>
    <w:rsid w:val="00BE4987"/>
    <w:rsid w:val="00BE51B1"/>
    <w:rsid w:val="00BE5B2A"/>
    <w:rsid w:val="00BE5F0C"/>
    <w:rsid w:val="00BE60A0"/>
    <w:rsid w:val="00BE6451"/>
    <w:rsid w:val="00BE70F6"/>
    <w:rsid w:val="00BE798A"/>
    <w:rsid w:val="00BE7DE9"/>
    <w:rsid w:val="00BF0649"/>
    <w:rsid w:val="00BF0753"/>
    <w:rsid w:val="00BF0AFC"/>
    <w:rsid w:val="00BF0F39"/>
    <w:rsid w:val="00BF1119"/>
    <w:rsid w:val="00BF1158"/>
    <w:rsid w:val="00BF150A"/>
    <w:rsid w:val="00BF2162"/>
    <w:rsid w:val="00BF23DE"/>
    <w:rsid w:val="00BF25F3"/>
    <w:rsid w:val="00BF2B23"/>
    <w:rsid w:val="00BF2CEA"/>
    <w:rsid w:val="00BF33C3"/>
    <w:rsid w:val="00BF3604"/>
    <w:rsid w:val="00BF3A51"/>
    <w:rsid w:val="00BF4B36"/>
    <w:rsid w:val="00BF5172"/>
    <w:rsid w:val="00BF5284"/>
    <w:rsid w:val="00BF58ED"/>
    <w:rsid w:val="00BF5B46"/>
    <w:rsid w:val="00BF6118"/>
    <w:rsid w:val="00BF6293"/>
    <w:rsid w:val="00BF698D"/>
    <w:rsid w:val="00BF7059"/>
    <w:rsid w:val="00BF74E3"/>
    <w:rsid w:val="00BF7C98"/>
    <w:rsid w:val="00BF7FCF"/>
    <w:rsid w:val="00C00B58"/>
    <w:rsid w:val="00C0168D"/>
    <w:rsid w:val="00C01BC4"/>
    <w:rsid w:val="00C01FD0"/>
    <w:rsid w:val="00C0223E"/>
    <w:rsid w:val="00C02580"/>
    <w:rsid w:val="00C02B20"/>
    <w:rsid w:val="00C02D88"/>
    <w:rsid w:val="00C02D9A"/>
    <w:rsid w:val="00C0362E"/>
    <w:rsid w:val="00C04DCF"/>
    <w:rsid w:val="00C04EAC"/>
    <w:rsid w:val="00C05473"/>
    <w:rsid w:val="00C055AB"/>
    <w:rsid w:val="00C05664"/>
    <w:rsid w:val="00C0586C"/>
    <w:rsid w:val="00C058CD"/>
    <w:rsid w:val="00C05B50"/>
    <w:rsid w:val="00C05BA9"/>
    <w:rsid w:val="00C05CCB"/>
    <w:rsid w:val="00C0636B"/>
    <w:rsid w:val="00C0675A"/>
    <w:rsid w:val="00C06AD3"/>
    <w:rsid w:val="00C06E7A"/>
    <w:rsid w:val="00C076CA"/>
    <w:rsid w:val="00C07A47"/>
    <w:rsid w:val="00C07C5C"/>
    <w:rsid w:val="00C07E7C"/>
    <w:rsid w:val="00C1054A"/>
    <w:rsid w:val="00C10983"/>
    <w:rsid w:val="00C10E1E"/>
    <w:rsid w:val="00C110CE"/>
    <w:rsid w:val="00C11812"/>
    <w:rsid w:val="00C11BCF"/>
    <w:rsid w:val="00C11D77"/>
    <w:rsid w:val="00C12055"/>
    <w:rsid w:val="00C12082"/>
    <w:rsid w:val="00C122FA"/>
    <w:rsid w:val="00C1237C"/>
    <w:rsid w:val="00C13192"/>
    <w:rsid w:val="00C13259"/>
    <w:rsid w:val="00C13C34"/>
    <w:rsid w:val="00C13D51"/>
    <w:rsid w:val="00C13DB2"/>
    <w:rsid w:val="00C146E4"/>
    <w:rsid w:val="00C149C6"/>
    <w:rsid w:val="00C14FCC"/>
    <w:rsid w:val="00C151D8"/>
    <w:rsid w:val="00C15B86"/>
    <w:rsid w:val="00C16020"/>
    <w:rsid w:val="00C1606E"/>
    <w:rsid w:val="00C16278"/>
    <w:rsid w:val="00C166B1"/>
    <w:rsid w:val="00C16A71"/>
    <w:rsid w:val="00C16AC2"/>
    <w:rsid w:val="00C16C84"/>
    <w:rsid w:val="00C170FF"/>
    <w:rsid w:val="00C17331"/>
    <w:rsid w:val="00C17751"/>
    <w:rsid w:val="00C178C3"/>
    <w:rsid w:val="00C17D2B"/>
    <w:rsid w:val="00C2084D"/>
    <w:rsid w:val="00C20D5E"/>
    <w:rsid w:val="00C210B2"/>
    <w:rsid w:val="00C21727"/>
    <w:rsid w:val="00C218F9"/>
    <w:rsid w:val="00C21C17"/>
    <w:rsid w:val="00C21E56"/>
    <w:rsid w:val="00C22004"/>
    <w:rsid w:val="00C22146"/>
    <w:rsid w:val="00C22382"/>
    <w:rsid w:val="00C22F4E"/>
    <w:rsid w:val="00C2367E"/>
    <w:rsid w:val="00C23840"/>
    <w:rsid w:val="00C23F8B"/>
    <w:rsid w:val="00C24380"/>
    <w:rsid w:val="00C24703"/>
    <w:rsid w:val="00C24A76"/>
    <w:rsid w:val="00C24A9C"/>
    <w:rsid w:val="00C24FA3"/>
    <w:rsid w:val="00C25130"/>
    <w:rsid w:val="00C2534A"/>
    <w:rsid w:val="00C25570"/>
    <w:rsid w:val="00C25862"/>
    <w:rsid w:val="00C258E5"/>
    <w:rsid w:val="00C2594F"/>
    <w:rsid w:val="00C25D93"/>
    <w:rsid w:val="00C27170"/>
    <w:rsid w:val="00C27B54"/>
    <w:rsid w:val="00C27D6D"/>
    <w:rsid w:val="00C300E9"/>
    <w:rsid w:val="00C30B35"/>
    <w:rsid w:val="00C30E4C"/>
    <w:rsid w:val="00C3106E"/>
    <w:rsid w:val="00C313FA"/>
    <w:rsid w:val="00C31414"/>
    <w:rsid w:val="00C317F6"/>
    <w:rsid w:val="00C31BEA"/>
    <w:rsid w:val="00C321DC"/>
    <w:rsid w:val="00C32559"/>
    <w:rsid w:val="00C32645"/>
    <w:rsid w:val="00C34005"/>
    <w:rsid w:val="00C34120"/>
    <w:rsid w:val="00C34749"/>
    <w:rsid w:val="00C34775"/>
    <w:rsid w:val="00C347B6"/>
    <w:rsid w:val="00C3482C"/>
    <w:rsid w:val="00C34886"/>
    <w:rsid w:val="00C35259"/>
    <w:rsid w:val="00C35607"/>
    <w:rsid w:val="00C35740"/>
    <w:rsid w:val="00C3577D"/>
    <w:rsid w:val="00C35BA4"/>
    <w:rsid w:val="00C35BC5"/>
    <w:rsid w:val="00C35C49"/>
    <w:rsid w:val="00C3624B"/>
    <w:rsid w:val="00C363C4"/>
    <w:rsid w:val="00C363E0"/>
    <w:rsid w:val="00C3657B"/>
    <w:rsid w:val="00C36C4F"/>
    <w:rsid w:val="00C36D76"/>
    <w:rsid w:val="00C36E02"/>
    <w:rsid w:val="00C37CC4"/>
    <w:rsid w:val="00C40253"/>
    <w:rsid w:val="00C4043B"/>
    <w:rsid w:val="00C4079D"/>
    <w:rsid w:val="00C40905"/>
    <w:rsid w:val="00C40EB5"/>
    <w:rsid w:val="00C41C11"/>
    <w:rsid w:val="00C41C1F"/>
    <w:rsid w:val="00C41D7D"/>
    <w:rsid w:val="00C4200C"/>
    <w:rsid w:val="00C4246D"/>
    <w:rsid w:val="00C43148"/>
    <w:rsid w:val="00C43869"/>
    <w:rsid w:val="00C438A8"/>
    <w:rsid w:val="00C43D4B"/>
    <w:rsid w:val="00C442AF"/>
    <w:rsid w:val="00C450CA"/>
    <w:rsid w:val="00C45E9D"/>
    <w:rsid w:val="00C4611D"/>
    <w:rsid w:val="00C461DE"/>
    <w:rsid w:val="00C46368"/>
    <w:rsid w:val="00C474DF"/>
    <w:rsid w:val="00C474E4"/>
    <w:rsid w:val="00C47703"/>
    <w:rsid w:val="00C47D45"/>
    <w:rsid w:val="00C50A18"/>
    <w:rsid w:val="00C51240"/>
    <w:rsid w:val="00C512A0"/>
    <w:rsid w:val="00C51816"/>
    <w:rsid w:val="00C52EB8"/>
    <w:rsid w:val="00C52FA7"/>
    <w:rsid w:val="00C53242"/>
    <w:rsid w:val="00C539E1"/>
    <w:rsid w:val="00C53A54"/>
    <w:rsid w:val="00C53C06"/>
    <w:rsid w:val="00C54357"/>
    <w:rsid w:val="00C5473D"/>
    <w:rsid w:val="00C5504E"/>
    <w:rsid w:val="00C55CD9"/>
    <w:rsid w:val="00C55F73"/>
    <w:rsid w:val="00C5650C"/>
    <w:rsid w:val="00C56694"/>
    <w:rsid w:val="00C567FE"/>
    <w:rsid w:val="00C56AA1"/>
    <w:rsid w:val="00C56ECA"/>
    <w:rsid w:val="00C57067"/>
    <w:rsid w:val="00C57A34"/>
    <w:rsid w:val="00C57B35"/>
    <w:rsid w:val="00C57B91"/>
    <w:rsid w:val="00C57C50"/>
    <w:rsid w:val="00C604B1"/>
    <w:rsid w:val="00C604D9"/>
    <w:rsid w:val="00C605C0"/>
    <w:rsid w:val="00C60773"/>
    <w:rsid w:val="00C60BE9"/>
    <w:rsid w:val="00C61752"/>
    <w:rsid w:val="00C61BE1"/>
    <w:rsid w:val="00C61D76"/>
    <w:rsid w:val="00C61DE1"/>
    <w:rsid w:val="00C61E22"/>
    <w:rsid w:val="00C61F48"/>
    <w:rsid w:val="00C622FB"/>
    <w:rsid w:val="00C62A28"/>
    <w:rsid w:val="00C6315B"/>
    <w:rsid w:val="00C635F3"/>
    <w:rsid w:val="00C63673"/>
    <w:rsid w:val="00C6426B"/>
    <w:rsid w:val="00C64606"/>
    <w:rsid w:val="00C6498B"/>
    <w:rsid w:val="00C64FF8"/>
    <w:rsid w:val="00C65B7C"/>
    <w:rsid w:val="00C65C46"/>
    <w:rsid w:val="00C65CE2"/>
    <w:rsid w:val="00C66697"/>
    <w:rsid w:val="00C66716"/>
    <w:rsid w:val="00C667FF"/>
    <w:rsid w:val="00C66868"/>
    <w:rsid w:val="00C669BA"/>
    <w:rsid w:val="00C66AB0"/>
    <w:rsid w:val="00C670C8"/>
    <w:rsid w:val="00C6765B"/>
    <w:rsid w:val="00C6765E"/>
    <w:rsid w:val="00C67ABF"/>
    <w:rsid w:val="00C67E29"/>
    <w:rsid w:val="00C70887"/>
    <w:rsid w:val="00C70C13"/>
    <w:rsid w:val="00C7110D"/>
    <w:rsid w:val="00C717AB"/>
    <w:rsid w:val="00C71969"/>
    <w:rsid w:val="00C71CC7"/>
    <w:rsid w:val="00C72068"/>
    <w:rsid w:val="00C72A57"/>
    <w:rsid w:val="00C72D2A"/>
    <w:rsid w:val="00C72D46"/>
    <w:rsid w:val="00C73C86"/>
    <w:rsid w:val="00C744EB"/>
    <w:rsid w:val="00C751CD"/>
    <w:rsid w:val="00C755F8"/>
    <w:rsid w:val="00C75728"/>
    <w:rsid w:val="00C75D39"/>
    <w:rsid w:val="00C75DAC"/>
    <w:rsid w:val="00C762D8"/>
    <w:rsid w:val="00C764E3"/>
    <w:rsid w:val="00C767A0"/>
    <w:rsid w:val="00C76BA8"/>
    <w:rsid w:val="00C76F76"/>
    <w:rsid w:val="00C771C6"/>
    <w:rsid w:val="00C77260"/>
    <w:rsid w:val="00C7788E"/>
    <w:rsid w:val="00C77C71"/>
    <w:rsid w:val="00C77CC6"/>
    <w:rsid w:val="00C77E6C"/>
    <w:rsid w:val="00C77F26"/>
    <w:rsid w:val="00C77F4A"/>
    <w:rsid w:val="00C802F5"/>
    <w:rsid w:val="00C80361"/>
    <w:rsid w:val="00C80404"/>
    <w:rsid w:val="00C80924"/>
    <w:rsid w:val="00C809EF"/>
    <w:rsid w:val="00C80A2D"/>
    <w:rsid w:val="00C81276"/>
    <w:rsid w:val="00C82789"/>
    <w:rsid w:val="00C829AC"/>
    <w:rsid w:val="00C82E9F"/>
    <w:rsid w:val="00C838C6"/>
    <w:rsid w:val="00C83B5F"/>
    <w:rsid w:val="00C83CDD"/>
    <w:rsid w:val="00C841F3"/>
    <w:rsid w:val="00C84AD8"/>
    <w:rsid w:val="00C85233"/>
    <w:rsid w:val="00C8535A"/>
    <w:rsid w:val="00C85BE6"/>
    <w:rsid w:val="00C85E1D"/>
    <w:rsid w:val="00C85F1D"/>
    <w:rsid w:val="00C86487"/>
    <w:rsid w:val="00C86A7E"/>
    <w:rsid w:val="00C87215"/>
    <w:rsid w:val="00C879C8"/>
    <w:rsid w:val="00C87D64"/>
    <w:rsid w:val="00C87D77"/>
    <w:rsid w:val="00C90026"/>
    <w:rsid w:val="00C902C2"/>
    <w:rsid w:val="00C90D93"/>
    <w:rsid w:val="00C90F19"/>
    <w:rsid w:val="00C91E07"/>
    <w:rsid w:val="00C923C8"/>
    <w:rsid w:val="00C92774"/>
    <w:rsid w:val="00C92882"/>
    <w:rsid w:val="00C92DB8"/>
    <w:rsid w:val="00C93081"/>
    <w:rsid w:val="00C93233"/>
    <w:rsid w:val="00C938FF"/>
    <w:rsid w:val="00C93D58"/>
    <w:rsid w:val="00C943CD"/>
    <w:rsid w:val="00C9446D"/>
    <w:rsid w:val="00C9451F"/>
    <w:rsid w:val="00C9467F"/>
    <w:rsid w:val="00C9537E"/>
    <w:rsid w:val="00C95729"/>
    <w:rsid w:val="00C958AC"/>
    <w:rsid w:val="00C962E6"/>
    <w:rsid w:val="00C9666B"/>
    <w:rsid w:val="00C9681A"/>
    <w:rsid w:val="00C96B06"/>
    <w:rsid w:val="00C96D0B"/>
    <w:rsid w:val="00C9758D"/>
    <w:rsid w:val="00C9787F"/>
    <w:rsid w:val="00C97ACD"/>
    <w:rsid w:val="00CA05CD"/>
    <w:rsid w:val="00CA0C54"/>
    <w:rsid w:val="00CA18D4"/>
    <w:rsid w:val="00CA1D06"/>
    <w:rsid w:val="00CA2178"/>
    <w:rsid w:val="00CA229D"/>
    <w:rsid w:val="00CA2648"/>
    <w:rsid w:val="00CA276D"/>
    <w:rsid w:val="00CA2AA9"/>
    <w:rsid w:val="00CA2CF7"/>
    <w:rsid w:val="00CA2E6D"/>
    <w:rsid w:val="00CA3265"/>
    <w:rsid w:val="00CA338D"/>
    <w:rsid w:val="00CA34CF"/>
    <w:rsid w:val="00CA3754"/>
    <w:rsid w:val="00CA3F85"/>
    <w:rsid w:val="00CA42BA"/>
    <w:rsid w:val="00CA4649"/>
    <w:rsid w:val="00CA4B06"/>
    <w:rsid w:val="00CA4DAB"/>
    <w:rsid w:val="00CA507E"/>
    <w:rsid w:val="00CA5EA0"/>
    <w:rsid w:val="00CA678B"/>
    <w:rsid w:val="00CA68DA"/>
    <w:rsid w:val="00CA6A99"/>
    <w:rsid w:val="00CA7681"/>
    <w:rsid w:val="00CA7752"/>
    <w:rsid w:val="00CA77EC"/>
    <w:rsid w:val="00CA79AE"/>
    <w:rsid w:val="00CA7E70"/>
    <w:rsid w:val="00CB0041"/>
    <w:rsid w:val="00CB1502"/>
    <w:rsid w:val="00CB2177"/>
    <w:rsid w:val="00CB25D1"/>
    <w:rsid w:val="00CB26E9"/>
    <w:rsid w:val="00CB28AA"/>
    <w:rsid w:val="00CB2B3A"/>
    <w:rsid w:val="00CB2E8C"/>
    <w:rsid w:val="00CB2FA6"/>
    <w:rsid w:val="00CB352D"/>
    <w:rsid w:val="00CB36D1"/>
    <w:rsid w:val="00CB36E7"/>
    <w:rsid w:val="00CB3CFE"/>
    <w:rsid w:val="00CB3D74"/>
    <w:rsid w:val="00CB3E6D"/>
    <w:rsid w:val="00CB3F64"/>
    <w:rsid w:val="00CB53AA"/>
    <w:rsid w:val="00CB574B"/>
    <w:rsid w:val="00CB59AE"/>
    <w:rsid w:val="00CB5B86"/>
    <w:rsid w:val="00CB67E8"/>
    <w:rsid w:val="00CB69A4"/>
    <w:rsid w:val="00CB6A56"/>
    <w:rsid w:val="00CB6B8C"/>
    <w:rsid w:val="00CB6C54"/>
    <w:rsid w:val="00CB6D71"/>
    <w:rsid w:val="00CB6E26"/>
    <w:rsid w:val="00CB6E91"/>
    <w:rsid w:val="00CB7698"/>
    <w:rsid w:val="00CB76A5"/>
    <w:rsid w:val="00CB7C92"/>
    <w:rsid w:val="00CC0249"/>
    <w:rsid w:val="00CC03E5"/>
    <w:rsid w:val="00CC0408"/>
    <w:rsid w:val="00CC04BE"/>
    <w:rsid w:val="00CC0B10"/>
    <w:rsid w:val="00CC1504"/>
    <w:rsid w:val="00CC203E"/>
    <w:rsid w:val="00CC26DF"/>
    <w:rsid w:val="00CC3785"/>
    <w:rsid w:val="00CC38BE"/>
    <w:rsid w:val="00CC41CA"/>
    <w:rsid w:val="00CC49DF"/>
    <w:rsid w:val="00CC4C80"/>
    <w:rsid w:val="00CC4D30"/>
    <w:rsid w:val="00CC502A"/>
    <w:rsid w:val="00CC5054"/>
    <w:rsid w:val="00CC565E"/>
    <w:rsid w:val="00CC588B"/>
    <w:rsid w:val="00CC59FD"/>
    <w:rsid w:val="00CC5E14"/>
    <w:rsid w:val="00CC60BA"/>
    <w:rsid w:val="00CC6343"/>
    <w:rsid w:val="00CC668E"/>
    <w:rsid w:val="00CC6DDF"/>
    <w:rsid w:val="00CC6E03"/>
    <w:rsid w:val="00CC6EEE"/>
    <w:rsid w:val="00CC702E"/>
    <w:rsid w:val="00CC7275"/>
    <w:rsid w:val="00CD07B4"/>
    <w:rsid w:val="00CD0D12"/>
    <w:rsid w:val="00CD13AB"/>
    <w:rsid w:val="00CD1483"/>
    <w:rsid w:val="00CD1542"/>
    <w:rsid w:val="00CD1696"/>
    <w:rsid w:val="00CD18DB"/>
    <w:rsid w:val="00CD2AF1"/>
    <w:rsid w:val="00CD2B52"/>
    <w:rsid w:val="00CD2D6F"/>
    <w:rsid w:val="00CD2E75"/>
    <w:rsid w:val="00CD325B"/>
    <w:rsid w:val="00CD37C8"/>
    <w:rsid w:val="00CD3A3E"/>
    <w:rsid w:val="00CD3C2E"/>
    <w:rsid w:val="00CD3C47"/>
    <w:rsid w:val="00CD3F5C"/>
    <w:rsid w:val="00CD4075"/>
    <w:rsid w:val="00CD493E"/>
    <w:rsid w:val="00CD4AED"/>
    <w:rsid w:val="00CD4DFC"/>
    <w:rsid w:val="00CD4FD5"/>
    <w:rsid w:val="00CD5543"/>
    <w:rsid w:val="00CD57DE"/>
    <w:rsid w:val="00CD5E71"/>
    <w:rsid w:val="00CD5E93"/>
    <w:rsid w:val="00CD634F"/>
    <w:rsid w:val="00CD701C"/>
    <w:rsid w:val="00CD737F"/>
    <w:rsid w:val="00CD7599"/>
    <w:rsid w:val="00CD797E"/>
    <w:rsid w:val="00CD79A3"/>
    <w:rsid w:val="00CD7A1C"/>
    <w:rsid w:val="00CD7DFE"/>
    <w:rsid w:val="00CD7F4C"/>
    <w:rsid w:val="00CE08C1"/>
    <w:rsid w:val="00CE0A7E"/>
    <w:rsid w:val="00CE0ACE"/>
    <w:rsid w:val="00CE0AE1"/>
    <w:rsid w:val="00CE10AA"/>
    <w:rsid w:val="00CE1347"/>
    <w:rsid w:val="00CE1543"/>
    <w:rsid w:val="00CE1A6F"/>
    <w:rsid w:val="00CE1A85"/>
    <w:rsid w:val="00CE1FF2"/>
    <w:rsid w:val="00CE257D"/>
    <w:rsid w:val="00CE387E"/>
    <w:rsid w:val="00CE3912"/>
    <w:rsid w:val="00CE48CE"/>
    <w:rsid w:val="00CE48D5"/>
    <w:rsid w:val="00CE4B94"/>
    <w:rsid w:val="00CE4D64"/>
    <w:rsid w:val="00CE5571"/>
    <w:rsid w:val="00CE580D"/>
    <w:rsid w:val="00CE596E"/>
    <w:rsid w:val="00CE5A26"/>
    <w:rsid w:val="00CE7726"/>
    <w:rsid w:val="00CE7DAA"/>
    <w:rsid w:val="00CE7E02"/>
    <w:rsid w:val="00CF00FC"/>
    <w:rsid w:val="00CF0126"/>
    <w:rsid w:val="00CF061C"/>
    <w:rsid w:val="00CF1560"/>
    <w:rsid w:val="00CF1A71"/>
    <w:rsid w:val="00CF2B9A"/>
    <w:rsid w:val="00CF2EF4"/>
    <w:rsid w:val="00CF3E7F"/>
    <w:rsid w:val="00CF3ED5"/>
    <w:rsid w:val="00CF457E"/>
    <w:rsid w:val="00CF4E22"/>
    <w:rsid w:val="00CF529E"/>
    <w:rsid w:val="00CF5F59"/>
    <w:rsid w:val="00CF5FA6"/>
    <w:rsid w:val="00CF6880"/>
    <w:rsid w:val="00CF6D40"/>
    <w:rsid w:val="00CF710C"/>
    <w:rsid w:val="00CF72E8"/>
    <w:rsid w:val="00CF7677"/>
    <w:rsid w:val="00D0000C"/>
    <w:rsid w:val="00D002C4"/>
    <w:rsid w:val="00D00BF7"/>
    <w:rsid w:val="00D010D6"/>
    <w:rsid w:val="00D01AAE"/>
    <w:rsid w:val="00D01BD7"/>
    <w:rsid w:val="00D01BE5"/>
    <w:rsid w:val="00D01C86"/>
    <w:rsid w:val="00D022BE"/>
    <w:rsid w:val="00D02642"/>
    <w:rsid w:val="00D0282D"/>
    <w:rsid w:val="00D02C3F"/>
    <w:rsid w:val="00D02ECB"/>
    <w:rsid w:val="00D0336F"/>
    <w:rsid w:val="00D03613"/>
    <w:rsid w:val="00D036A1"/>
    <w:rsid w:val="00D03AE6"/>
    <w:rsid w:val="00D03FE4"/>
    <w:rsid w:val="00D04045"/>
    <w:rsid w:val="00D0419A"/>
    <w:rsid w:val="00D041A3"/>
    <w:rsid w:val="00D0431B"/>
    <w:rsid w:val="00D0491D"/>
    <w:rsid w:val="00D054F5"/>
    <w:rsid w:val="00D05643"/>
    <w:rsid w:val="00D06551"/>
    <w:rsid w:val="00D06AC8"/>
    <w:rsid w:val="00D06B04"/>
    <w:rsid w:val="00D07B4E"/>
    <w:rsid w:val="00D07CE1"/>
    <w:rsid w:val="00D102F1"/>
    <w:rsid w:val="00D1053B"/>
    <w:rsid w:val="00D10CC5"/>
    <w:rsid w:val="00D11207"/>
    <w:rsid w:val="00D11867"/>
    <w:rsid w:val="00D11DA1"/>
    <w:rsid w:val="00D11EFE"/>
    <w:rsid w:val="00D121EB"/>
    <w:rsid w:val="00D12995"/>
    <w:rsid w:val="00D12DC4"/>
    <w:rsid w:val="00D12FF9"/>
    <w:rsid w:val="00D13090"/>
    <w:rsid w:val="00D13977"/>
    <w:rsid w:val="00D13FB8"/>
    <w:rsid w:val="00D143B3"/>
    <w:rsid w:val="00D146B1"/>
    <w:rsid w:val="00D14728"/>
    <w:rsid w:val="00D14A85"/>
    <w:rsid w:val="00D14AC9"/>
    <w:rsid w:val="00D14FEA"/>
    <w:rsid w:val="00D15252"/>
    <w:rsid w:val="00D15DFC"/>
    <w:rsid w:val="00D15EDC"/>
    <w:rsid w:val="00D16A3D"/>
    <w:rsid w:val="00D171D3"/>
    <w:rsid w:val="00D17917"/>
    <w:rsid w:val="00D17A27"/>
    <w:rsid w:val="00D17D2B"/>
    <w:rsid w:val="00D20887"/>
    <w:rsid w:val="00D20E0C"/>
    <w:rsid w:val="00D220E8"/>
    <w:rsid w:val="00D22438"/>
    <w:rsid w:val="00D22D36"/>
    <w:rsid w:val="00D22F12"/>
    <w:rsid w:val="00D230E4"/>
    <w:rsid w:val="00D23389"/>
    <w:rsid w:val="00D235A7"/>
    <w:rsid w:val="00D23889"/>
    <w:rsid w:val="00D23D6B"/>
    <w:rsid w:val="00D23EB5"/>
    <w:rsid w:val="00D23F2E"/>
    <w:rsid w:val="00D242FA"/>
    <w:rsid w:val="00D24BC5"/>
    <w:rsid w:val="00D24E26"/>
    <w:rsid w:val="00D25002"/>
    <w:rsid w:val="00D25C61"/>
    <w:rsid w:val="00D25D81"/>
    <w:rsid w:val="00D25FA6"/>
    <w:rsid w:val="00D263F5"/>
    <w:rsid w:val="00D26CB8"/>
    <w:rsid w:val="00D26F01"/>
    <w:rsid w:val="00D273BD"/>
    <w:rsid w:val="00D2776A"/>
    <w:rsid w:val="00D304B3"/>
    <w:rsid w:val="00D3055F"/>
    <w:rsid w:val="00D30B48"/>
    <w:rsid w:val="00D30B63"/>
    <w:rsid w:val="00D30C35"/>
    <w:rsid w:val="00D31573"/>
    <w:rsid w:val="00D317BE"/>
    <w:rsid w:val="00D31A46"/>
    <w:rsid w:val="00D31BE9"/>
    <w:rsid w:val="00D324CF"/>
    <w:rsid w:val="00D325B7"/>
    <w:rsid w:val="00D328B8"/>
    <w:rsid w:val="00D329B2"/>
    <w:rsid w:val="00D32B9A"/>
    <w:rsid w:val="00D3309B"/>
    <w:rsid w:val="00D335D7"/>
    <w:rsid w:val="00D336E0"/>
    <w:rsid w:val="00D33D71"/>
    <w:rsid w:val="00D343D8"/>
    <w:rsid w:val="00D34D3F"/>
    <w:rsid w:val="00D35729"/>
    <w:rsid w:val="00D359B5"/>
    <w:rsid w:val="00D35D3C"/>
    <w:rsid w:val="00D369DB"/>
    <w:rsid w:val="00D371B6"/>
    <w:rsid w:val="00D40746"/>
    <w:rsid w:val="00D40756"/>
    <w:rsid w:val="00D40A6C"/>
    <w:rsid w:val="00D410ED"/>
    <w:rsid w:val="00D41650"/>
    <w:rsid w:val="00D419F8"/>
    <w:rsid w:val="00D41C19"/>
    <w:rsid w:val="00D422C6"/>
    <w:rsid w:val="00D423AA"/>
    <w:rsid w:val="00D42513"/>
    <w:rsid w:val="00D42728"/>
    <w:rsid w:val="00D42B58"/>
    <w:rsid w:val="00D42BD0"/>
    <w:rsid w:val="00D42D2B"/>
    <w:rsid w:val="00D43CEF"/>
    <w:rsid w:val="00D43E79"/>
    <w:rsid w:val="00D444D1"/>
    <w:rsid w:val="00D4531F"/>
    <w:rsid w:val="00D456EF"/>
    <w:rsid w:val="00D4572A"/>
    <w:rsid w:val="00D458F6"/>
    <w:rsid w:val="00D45C65"/>
    <w:rsid w:val="00D45F0A"/>
    <w:rsid w:val="00D46351"/>
    <w:rsid w:val="00D46359"/>
    <w:rsid w:val="00D473C0"/>
    <w:rsid w:val="00D477B0"/>
    <w:rsid w:val="00D5017C"/>
    <w:rsid w:val="00D501DE"/>
    <w:rsid w:val="00D50475"/>
    <w:rsid w:val="00D5080E"/>
    <w:rsid w:val="00D50864"/>
    <w:rsid w:val="00D50F6D"/>
    <w:rsid w:val="00D50FFC"/>
    <w:rsid w:val="00D51030"/>
    <w:rsid w:val="00D510AB"/>
    <w:rsid w:val="00D51265"/>
    <w:rsid w:val="00D51334"/>
    <w:rsid w:val="00D5139C"/>
    <w:rsid w:val="00D518D4"/>
    <w:rsid w:val="00D519FB"/>
    <w:rsid w:val="00D51ACD"/>
    <w:rsid w:val="00D51FF3"/>
    <w:rsid w:val="00D520A8"/>
    <w:rsid w:val="00D521EF"/>
    <w:rsid w:val="00D52389"/>
    <w:rsid w:val="00D5296C"/>
    <w:rsid w:val="00D52C2D"/>
    <w:rsid w:val="00D532CF"/>
    <w:rsid w:val="00D534C9"/>
    <w:rsid w:val="00D544CF"/>
    <w:rsid w:val="00D54D70"/>
    <w:rsid w:val="00D54F39"/>
    <w:rsid w:val="00D557DE"/>
    <w:rsid w:val="00D55B1D"/>
    <w:rsid w:val="00D55DA9"/>
    <w:rsid w:val="00D55E65"/>
    <w:rsid w:val="00D5646D"/>
    <w:rsid w:val="00D56B9B"/>
    <w:rsid w:val="00D574E5"/>
    <w:rsid w:val="00D57EDB"/>
    <w:rsid w:val="00D605A5"/>
    <w:rsid w:val="00D606C8"/>
    <w:rsid w:val="00D60AE3"/>
    <w:rsid w:val="00D613EE"/>
    <w:rsid w:val="00D61411"/>
    <w:rsid w:val="00D6163C"/>
    <w:rsid w:val="00D61ABF"/>
    <w:rsid w:val="00D61BC9"/>
    <w:rsid w:val="00D61CAD"/>
    <w:rsid w:val="00D61DF8"/>
    <w:rsid w:val="00D61E8A"/>
    <w:rsid w:val="00D62508"/>
    <w:rsid w:val="00D6256F"/>
    <w:rsid w:val="00D627C4"/>
    <w:rsid w:val="00D62951"/>
    <w:rsid w:val="00D62985"/>
    <w:rsid w:val="00D62C59"/>
    <w:rsid w:val="00D62EDC"/>
    <w:rsid w:val="00D637A2"/>
    <w:rsid w:val="00D63D55"/>
    <w:rsid w:val="00D64FF3"/>
    <w:rsid w:val="00D65732"/>
    <w:rsid w:val="00D65771"/>
    <w:rsid w:val="00D657E5"/>
    <w:rsid w:val="00D6625E"/>
    <w:rsid w:val="00D66364"/>
    <w:rsid w:val="00D66677"/>
    <w:rsid w:val="00D66750"/>
    <w:rsid w:val="00D6698E"/>
    <w:rsid w:val="00D6724F"/>
    <w:rsid w:val="00D67324"/>
    <w:rsid w:val="00D6781F"/>
    <w:rsid w:val="00D67CA8"/>
    <w:rsid w:val="00D67DAA"/>
    <w:rsid w:val="00D67E86"/>
    <w:rsid w:val="00D704A8"/>
    <w:rsid w:val="00D70919"/>
    <w:rsid w:val="00D71102"/>
    <w:rsid w:val="00D71777"/>
    <w:rsid w:val="00D71A2A"/>
    <w:rsid w:val="00D720C0"/>
    <w:rsid w:val="00D726E6"/>
    <w:rsid w:val="00D72F55"/>
    <w:rsid w:val="00D73137"/>
    <w:rsid w:val="00D732CA"/>
    <w:rsid w:val="00D7347E"/>
    <w:rsid w:val="00D73724"/>
    <w:rsid w:val="00D742A3"/>
    <w:rsid w:val="00D7441D"/>
    <w:rsid w:val="00D746DB"/>
    <w:rsid w:val="00D749CB"/>
    <w:rsid w:val="00D74A99"/>
    <w:rsid w:val="00D74E4E"/>
    <w:rsid w:val="00D75076"/>
    <w:rsid w:val="00D7513D"/>
    <w:rsid w:val="00D755E9"/>
    <w:rsid w:val="00D75633"/>
    <w:rsid w:val="00D76019"/>
    <w:rsid w:val="00D7611C"/>
    <w:rsid w:val="00D763BE"/>
    <w:rsid w:val="00D76540"/>
    <w:rsid w:val="00D76584"/>
    <w:rsid w:val="00D766EE"/>
    <w:rsid w:val="00D7693A"/>
    <w:rsid w:val="00D76AD6"/>
    <w:rsid w:val="00D76B9A"/>
    <w:rsid w:val="00D76D06"/>
    <w:rsid w:val="00D77321"/>
    <w:rsid w:val="00D77B0B"/>
    <w:rsid w:val="00D800A0"/>
    <w:rsid w:val="00D804AD"/>
    <w:rsid w:val="00D805B8"/>
    <w:rsid w:val="00D80E20"/>
    <w:rsid w:val="00D80EC5"/>
    <w:rsid w:val="00D80ECE"/>
    <w:rsid w:val="00D819B7"/>
    <w:rsid w:val="00D81A89"/>
    <w:rsid w:val="00D81DED"/>
    <w:rsid w:val="00D82338"/>
    <w:rsid w:val="00D82829"/>
    <w:rsid w:val="00D82AF3"/>
    <w:rsid w:val="00D82B67"/>
    <w:rsid w:val="00D832F9"/>
    <w:rsid w:val="00D838BC"/>
    <w:rsid w:val="00D838ED"/>
    <w:rsid w:val="00D83CAF"/>
    <w:rsid w:val="00D8405D"/>
    <w:rsid w:val="00D84616"/>
    <w:rsid w:val="00D849DA"/>
    <w:rsid w:val="00D84FD0"/>
    <w:rsid w:val="00D85703"/>
    <w:rsid w:val="00D8571B"/>
    <w:rsid w:val="00D85BCB"/>
    <w:rsid w:val="00D85E97"/>
    <w:rsid w:val="00D863E0"/>
    <w:rsid w:val="00D86416"/>
    <w:rsid w:val="00D865F3"/>
    <w:rsid w:val="00D86A0E"/>
    <w:rsid w:val="00D86F1D"/>
    <w:rsid w:val="00D878B3"/>
    <w:rsid w:val="00D900C1"/>
    <w:rsid w:val="00D90489"/>
    <w:rsid w:val="00D90A92"/>
    <w:rsid w:val="00D90D27"/>
    <w:rsid w:val="00D914A5"/>
    <w:rsid w:val="00D91502"/>
    <w:rsid w:val="00D917B4"/>
    <w:rsid w:val="00D91944"/>
    <w:rsid w:val="00D92069"/>
    <w:rsid w:val="00D921C4"/>
    <w:rsid w:val="00D92895"/>
    <w:rsid w:val="00D92BE4"/>
    <w:rsid w:val="00D92D6C"/>
    <w:rsid w:val="00D9318E"/>
    <w:rsid w:val="00D93A66"/>
    <w:rsid w:val="00D93D22"/>
    <w:rsid w:val="00D93FF0"/>
    <w:rsid w:val="00D94110"/>
    <w:rsid w:val="00D94241"/>
    <w:rsid w:val="00D9442E"/>
    <w:rsid w:val="00D94620"/>
    <w:rsid w:val="00D947A4"/>
    <w:rsid w:val="00D95326"/>
    <w:rsid w:val="00D953FE"/>
    <w:rsid w:val="00D956BE"/>
    <w:rsid w:val="00D9636A"/>
    <w:rsid w:val="00D966EB"/>
    <w:rsid w:val="00D96A79"/>
    <w:rsid w:val="00D96A88"/>
    <w:rsid w:val="00D96B52"/>
    <w:rsid w:val="00D976FF"/>
    <w:rsid w:val="00D97723"/>
    <w:rsid w:val="00D97A1F"/>
    <w:rsid w:val="00D97BB2"/>
    <w:rsid w:val="00DA003D"/>
    <w:rsid w:val="00DA0253"/>
    <w:rsid w:val="00DA0430"/>
    <w:rsid w:val="00DA0D86"/>
    <w:rsid w:val="00DA0E74"/>
    <w:rsid w:val="00DA0FE2"/>
    <w:rsid w:val="00DA15BD"/>
    <w:rsid w:val="00DA15D4"/>
    <w:rsid w:val="00DA166B"/>
    <w:rsid w:val="00DA1A75"/>
    <w:rsid w:val="00DA1B15"/>
    <w:rsid w:val="00DA1C7B"/>
    <w:rsid w:val="00DA1E0A"/>
    <w:rsid w:val="00DA2041"/>
    <w:rsid w:val="00DA2287"/>
    <w:rsid w:val="00DA280A"/>
    <w:rsid w:val="00DA2A23"/>
    <w:rsid w:val="00DA2BEA"/>
    <w:rsid w:val="00DA2BED"/>
    <w:rsid w:val="00DA2CBB"/>
    <w:rsid w:val="00DA2DB0"/>
    <w:rsid w:val="00DA368A"/>
    <w:rsid w:val="00DA3ADD"/>
    <w:rsid w:val="00DA3E89"/>
    <w:rsid w:val="00DA41B2"/>
    <w:rsid w:val="00DA43C5"/>
    <w:rsid w:val="00DA468C"/>
    <w:rsid w:val="00DA4BA5"/>
    <w:rsid w:val="00DA5AF0"/>
    <w:rsid w:val="00DA611A"/>
    <w:rsid w:val="00DA6539"/>
    <w:rsid w:val="00DA6997"/>
    <w:rsid w:val="00DA6DF9"/>
    <w:rsid w:val="00DA6FE6"/>
    <w:rsid w:val="00DA7018"/>
    <w:rsid w:val="00DA72AF"/>
    <w:rsid w:val="00DA735A"/>
    <w:rsid w:val="00DA7CAD"/>
    <w:rsid w:val="00DB02C2"/>
    <w:rsid w:val="00DB0568"/>
    <w:rsid w:val="00DB05F2"/>
    <w:rsid w:val="00DB0AB1"/>
    <w:rsid w:val="00DB0EB1"/>
    <w:rsid w:val="00DB1035"/>
    <w:rsid w:val="00DB1CC2"/>
    <w:rsid w:val="00DB22A5"/>
    <w:rsid w:val="00DB2350"/>
    <w:rsid w:val="00DB252A"/>
    <w:rsid w:val="00DB2575"/>
    <w:rsid w:val="00DB2BC2"/>
    <w:rsid w:val="00DB318D"/>
    <w:rsid w:val="00DB337D"/>
    <w:rsid w:val="00DB350D"/>
    <w:rsid w:val="00DB3B85"/>
    <w:rsid w:val="00DB3F3C"/>
    <w:rsid w:val="00DB4169"/>
    <w:rsid w:val="00DB43EA"/>
    <w:rsid w:val="00DB5D0C"/>
    <w:rsid w:val="00DB5E20"/>
    <w:rsid w:val="00DB629E"/>
    <w:rsid w:val="00DB67C0"/>
    <w:rsid w:val="00DB695E"/>
    <w:rsid w:val="00DB72AE"/>
    <w:rsid w:val="00DB7B82"/>
    <w:rsid w:val="00DB7F39"/>
    <w:rsid w:val="00DC06B3"/>
    <w:rsid w:val="00DC077F"/>
    <w:rsid w:val="00DC0882"/>
    <w:rsid w:val="00DC08F2"/>
    <w:rsid w:val="00DC0A54"/>
    <w:rsid w:val="00DC0AF0"/>
    <w:rsid w:val="00DC0DAD"/>
    <w:rsid w:val="00DC0ED8"/>
    <w:rsid w:val="00DC1142"/>
    <w:rsid w:val="00DC1296"/>
    <w:rsid w:val="00DC13D2"/>
    <w:rsid w:val="00DC1646"/>
    <w:rsid w:val="00DC1952"/>
    <w:rsid w:val="00DC1E14"/>
    <w:rsid w:val="00DC1E55"/>
    <w:rsid w:val="00DC2CFA"/>
    <w:rsid w:val="00DC2EC2"/>
    <w:rsid w:val="00DC30D8"/>
    <w:rsid w:val="00DC31C6"/>
    <w:rsid w:val="00DC349D"/>
    <w:rsid w:val="00DC3A86"/>
    <w:rsid w:val="00DC3CBE"/>
    <w:rsid w:val="00DC3F46"/>
    <w:rsid w:val="00DC4A18"/>
    <w:rsid w:val="00DC50DD"/>
    <w:rsid w:val="00DC5336"/>
    <w:rsid w:val="00DC592E"/>
    <w:rsid w:val="00DC5C47"/>
    <w:rsid w:val="00DC5D25"/>
    <w:rsid w:val="00DC686A"/>
    <w:rsid w:val="00DC6A7A"/>
    <w:rsid w:val="00DC6F37"/>
    <w:rsid w:val="00DC700D"/>
    <w:rsid w:val="00DC71B3"/>
    <w:rsid w:val="00DC760D"/>
    <w:rsid w:val="00DC778A"/>
    <w:rsid w:val="00DC7E47"/>
    <w:rsid w:val="00DD00DB"/>
    <w:rsid w:val="00DD04D3"/>
    <w:rsid w:val="00DD127E"/>
    <w:rsid w:val="00DD143D"/>
    <w:rsid w:val="00DD1475"/>
    <w:rsid w:val="00DD1606"/>
    <w:rsid w:val="00DD197F"/>
    <w:rsid w:val="00DD1BA8"/>
    <w:rsid w:val="00DD1BF4"/>
    <w:rsid w:val="00DD1E29"/>
    <w:rsid w:val="00DD1F68"/>
    <w:rsid w:val="00DD1F7D"/>
    <w:rsid w:val="00DD291D"/>
    <w:rsid w:val="00DD31F8"/>
    <w:rsid w:val="00DD341C"/>
    <w:rsid w:val="00DD38BA"/>
    <w:rsid w:val="00DD3D83"/>
    <w:rsid w:val="00DD4038"/>
    <w:rsid w:val="00DD46F1"/>
    <w:rsid w:val="00DD4A8B"/>
    <w:rsid w:val="00DD50AA"/>
    <w:rsid w:val="00DD58A7"/>
    <w:rsid w:val="00DD5EE9"/>
    <w:rsid w:val="00DD600B"/>
    <w:rsid w:val="00DD60B3"/>
    <w:rsid w:val="00DD637D"/>
    <w:rsid w:val="00DD67C6"/>
    <w:rsid w:val="00DD6984"/>
    <w:rsid w:val="00DD71FF"/>
    <w:rsid w:val="00DD773D"/>
    <w:rsid w:val="00DD7BBD"/>
    <w:rsid w:val="00DD7CA0"/>
    <w:rsid w:val="00DE037F"/>
    <w:rsid w:val="00DE0381"/>
    <w:rsid w:val="00DE0451"/>
    <w:rsid w:val="00DE0538"/>
    <w:rsid w:val="00DE07A1"/>
    <w:rsid w:val="00DE08A9"/>
    <w:rsid w:val="00DE1186"/>
    <w:rsid w:val="00DE12AB"/>
    <w:rsid w:val="00DE18B5"/>
    <w:rsid w:val="00DE1E58"/>
    <w:rsid w:val="00DE22FC"/>
    <w:rsid w:val="00DE2D5B"/>
    <w:rsid w:val="00DE2DCF"/>
    <w:rsid w:val="00DE3185"/>
    <w:rsid w:val="00DE361C"/>
    <w:rsid w:val="00DE3871"/>
    <w:rsid w:val="00DE38B6"/>
    <w:rsid w:val="00DE3A16"/>
    <w:rsid w:val="00DE3A84"/>
    <w:rsid w:val="00DE3ECF"/>
    <w:rsid w:val="00DE45B7"/>
    <w:rsid w:val="00DE46C5"/>
    <w:rsid w:val="00DE4858"/>
    <w:rsid w:val="00DE4A9F"/>
    <w:rsid w:val="00DE4C19"/>
    <w:rsid w:val="00DE5B3D"/>
    <w:rsid w:val="00DE5E31"/>
    <w:rsid w:val="00DE618B"/>
    <w:rsid w:val="00DE6305"/>
    <w:rsid w:val="00DE6B21"/>
    <w:rsid w:val="00DE6CAF"/>
    <w:rsid w:val="00DE7C92"/>
    <w:rsid w:val="00DF013C"/>
    <w:rsid w:val="00DF01AE"/>
    <w:rsid w:val="00DF04E0"/>
    <w:rsid w:val="00DF0EDE"/>
    <w:rsid w:val="00DF10E0"/>
    <w:rsid w:val="00DF1B32"/>
    <w:rsid w:val="00DF22F0"/>
    <w:rsid w:val="00DF2563"/>
    <w:rsid w:val="00DF2698"/>
    <w:rsid w:val="00DF2CDF"/>
    <w:rsid w:val="00DF3334"/>
    <w:rsid w:val="00DF36B8"/>
    <w:rsid w:val="00DF38C9"/>
    <w:rsid w:val="00DF3A1B"/>
    <w:rsid w:val="00DF3D7F"/>
    <w:rsid w:val="00DF3E20"/>
    <w:rsid w:val="00DF433C"/>
    <w:rsid w:val="00DF4BD0"/>
    <w:rsid w:val="00DF4F4D"/>
    <w:rsid w:val="00DF522F"/>
    <w:rsid w:val="00DF539E"/>
    <w:rsid w:val="00DF574D"/>
    <w:rsid w:val="00DF6026"/>
    <w:rsid w:val="00DF6390"/>
    <w:rsid w:val="00DF64AC"/>
    <w:rsid w:val="00DF6A41"/>
    <w:rsid w:val="00DF7071"/>
    <w:rsid w:val="00DF711F"/>
    <w:rsid w:val="00DF7206"/>
    <w:rsid w:val="00DF76DE"/>
    <w:rsid w:val="00DF7859"/>
    <w:rsid w:val="00DF7C2B"/>
    <w:rsid w:val="00DF7C93"/>
    <w:rsid w:val="00E00170"/>
    <w:rsid w:val="00E001CB"/>
    <w:rsid w:val="00E002B8"/>
    <w:rsid w:val="00E006F6"/>
    <w:rsid w:val="00E00C3E"/>
    <w:rsid w:val="00E00C7E"/>
    <w:rsid w:val="00E00FD4"/>
    <w:rsid w:val="00E017EA"/>
    <w:rsid w:val="00E017EC"/>
    <w:rsid w:val="00E01C72"/>
    <w:rsid w:val="00E01DE0"/>
    <w:rsid w:val="00E02745"/>
    <w:rsid w:val="00E029D4"/>
    <w:rsid w:val="00E02A5D"/>
    <w:rsid w:val="00E0339C"/>
    <w:rsid w:val="00E033DF"/>
    <w:rsid w:val="00E03E7D"/>
    <w:rsid w:val="00E04133"/>
    <w:rsid w:val="00E04449"/>
    <w:rsid w:val="00E0447F"/>
    <w:rsid w:val="00E0494D"/>
    <w:rsid w:val="00E05037"/>
    <w:rsid w:val="00E06030"/>
    <w:rsid w:val="00E06E35"/>
    <w:rsid w:val="00E0716E"/>
    <w:rsid w:val="00E07174"/>
    <w:rsid w:val="00E0727B"/>
    <w:rsid w:val="00E07357"/>
    <w:rsid w:val="00E07B21"/>
    <w:rsid w:val="00E07B54"/>
    <w:rsid w:val="00E104F8"/>
    <w:rsid w:val="00E10D07"/>
    <w:rsid w:val="00E1124A"/>
    <w:rsid w:val="00E12359"/>
    <w:rsid w:val="00E12438"/>
    <w:rsid w:val="00E12DFF"/>
    <w:rsid w:val="00E12EF4"/>
    <w:rsid w:val="00E13293"/>
    <w:rsid w:val="00E137E0"/>
    <w:rsid w:val="00E13D89"/>
    <w:rsid w:val="00E1404D"/>
    <w:rsid w:val="00E14326"/>
    <w:rsid w:val="00E14BA1"/>
    <w:rsid w:val="00E1541C"/>
    <w:rsid w:val="00E15C83"/>
    <w:rsid w:val="00E15D18"/>
    <w:rsid w:val="00E1681C"/>
    <w:rsid w:val="00E16A20"/>
    <w:rsid w:val="00E172CF"/>
    <w:rsid w:val="00E17541"/>
    <w:rsid w:val="00E17DA6"/>
    <w:rsid w:val="00E17E4F"/>
    <w:rsid w:val="00E20527"/>
    <w:rsid w:val="00E2099D"/>
    <w:rsid w:val="00E20B40"/>
    <w:rsid w:val="00E20E93"/>
    <w:rsid w:val="00E21085"/>
    <w:rsid w:val="00E212E6"/>
    <w:rsid w:val="00E21339"/>
    <w:rsid w:val="00E213E1"/>
    <w:rsid w:val="00E2154D"/>
    <w:rsid w:val="00E21F7F"/>
    <w:rsid w:val="00E2220A"/>
    <w:rsid w:val="00E22BCE"/>
    <w:rsid w:val="00E22F54"/>
    <w:rsid w:val="00E2305B"/>
    <w:rsid w:val="00E230CB"/>
    <w:rsid w:val="00E234BE"/>
    <w:rsid w:val="00E23765"/>
    <w:rsid w:val="00E2474C"/>
    <w:rsid w:val="00E2486A"/>
    <w:rsid w:val="00E25F0C"/>
    <w:rsid w:val="00E26D3D"/>
    <w:rsid w:val="00E26D69"/>
    <w:rsid w:val="00E27786"/>
    <w:rsid w:val="00E2798B"/>
    <w:rsid w:val="00E27ACA"/>
    <w:rsid w:val="00E30376"/>
    <w:rsid w:val="00E3088F"/>
    <w:rsid w:val="00E30CE9"/>
    <w:rsid w:val="00E32E36"/>
    <w:rsid w:val="00E32EA6"/>
    <w:rsid w:val="00E32F08"/>
    <w:rsid w:val="00E32F13"/>
    <w:rsid w:val="00E3459A"/>
    <w:rsid w:val="00E34E9A"/>
    <w:rsid w:val="00E34FC7"/>
    <w:rsid w:val="00E34FEC"/>
    <w:rsid w:val="00E35532"/>
    <w:rsid w:val="00E35992"/>
    <w:rsid w:val="00E35F21"/>
    <w:rsid w:val="00E3604B"/>
    <w:rsid w:val="00E3635B"/>
    <w:rsid w:val="00E3693B"/>
    <w:rsid w:val="00E36A97"/>
    <w:rsid w:val="00E37483"/>
    <w:rsid w:val="00E37AA8"/>
    <w:rsid w:val="00E40189"/>
    <w:rsid w:val="00E40576"/>
    <w:rsid w:val="00E40BE9"/>
    <w:rsid w:val="00E40E8E"/>
    <w:rsid w:val="00E4131C"/>
    <w:rsid w:val="00E41334"/>
    <w:rsid w:val="00E415BE"/>
    <w:rsid w:val="00E41D77"/>
    <w:rsid w:val="00E41EDF"/>
    <w:rsid w:val="00E421C7"/>
    <w:rsid w:val="00E42237"/>
    <w:rsid w:val="00E42598"/>
    <w:rsid w:val="00E42607"/>
    <w:rsid w:val="00E42839"/>
    <w:rsid w:val="00E428BA"/>
    <w:rsid w:val="00E43251"/>
    <w:rsid w:val="00E436DD"/>
    <w:rsid w:val="00E43A7C"/>
    <w:rsid w:val="00E43ECC"/>
    <w:rsid w:val="00E43F5F"/>
    <w:rsid w:val="00E4414C"/>
    <w:rsid w:val="00E4422D"/>
    <w:rsid w:val="00E44D55"/>
    <w:rsid w:val="00E44E3D"/>
    <w:rsid w:val="00E450BB"/>
    <w:rsid w:val="00E4564E"/>
    <w:rsid w:val="00E4607D"/>
    <w:rsid w:val="00E4628F"/>
    <w:rsid w:val="00E46D18"/>
    <w:rsid w:val="00E471FD"/>
    <w:rsid w:val="00E47388"/>
    <w:rsid w:val="00E47423"/>
    <w:rsid w:val="00E477B6"/>
    <w:rsid w:val="00E477F5"/>
    <w:rsid w:val="00E47B3D"/>
    <w:rsid w:val="00E50047"/>
    <w:rsid w:val="00E5008C"/>
    <w:rsid w:val="00E50288"/>
    <w:rsid w:val="00E5068B"/>
    <w:rsid w:val="00E50BFD"/>
    <w:rsid w:val="00E50C71"/>
    <w:rsid w:val="00E510BB"/>
    <w:rsid w:val="00E51A83"/>
    <w:rsid w:val="00E520DE"/>
    <w:rsid w:val="00E5337D"/>
    <w:rsid w:val="00E533C5"/>
    <w:rsid w:val="00E536DD"/>
    <w:rsid w:val="00E537CE"/>
    <w:rsid w:val="00E5402D"/>
    <w:rsid w:val="00E54244"/>
    <w:rsid w:val="00E54377"/>
    <w:rsid w:val="00E545BB"/>
    <w:rsid w:val="00E5466B"/>
    <w:rsid w:val="00E55F24"/>
    <w:rsid w:val="00E5609C"/>
    <w:rsid w:val="00E56B27"/>
    <w:rsid w:val="00E577BA"/>
    <w:rsid w:val="00E602DF"/>
    <w:rsid w:val="00E607AB"/>
    <w:rsid w:val="00E60946"/>
    <w:rsid w:val="00E6106B"/>
    <w:rsid w:val="00E6161B"/>
    <w:rsid w:val="00E61666"/>
    <w:rsid w:val="00E61962"/>
    <w:rsid w:val="00E626A9"/>
    <w:rsid w:val="00E62BC6"/>
    <w:rsid w:val="00E63117"/>
    <w:rsid w:val="00E63957"/>
    <w:rsid w:val="00E63A5A"/>
    <w:rsid w:val="00E64239"/>
    <w:rsid w:val="00E64DB8"/>
    <w:rsid w:val="00E6511C"/>
    <w:rsid w:val="00E65713"/>
    <w:rsid w:val="00E658E3"/>
    <w:rsid w:val="00E65F1A"/>
    <w:rsid w:val="00E65F69"/>
    <w:rsid w:val="00E66154"/>
    <w:rsid w:val="00E6618C"/>
    <w:rsid w:val="00E6635C"/>
    <w:rsid w:val="00E66457"/>
    <w:rsid w:val="00E66714"/>
    <w:rsid w:val="00E66B4E"/>
    <w:rsid w:val="00E66FB1"/>
    <w:rsid w:val="00E670B8"/>
    <w:rsid w:val="00E671EF"/>
    <w:rsid w:val="00E70441"/>
    <w:rsid w:val="00E7049D"/>
    <w:rsid w:val="00E7068F"/>
    <w:rsid w:val="00E70895"/>
    <w:rsid w:val="00E711A5"/>
    <w:rsid w:val="00E72120"/>
    <w:rsid w:val="00E72338"/>
    <w:rsid w:val="00E723BA"/>
    <w:rsid w:val="00E7249C"/>
    <w:rsid w:val="00E72699"/>
    <w:rsid w:val="00E72A0E"/>
    <w:rsid w:val="00E72DC5"/>
    <w:rsid w:val="00E73087"/>
    <w:rsid w:val="00E736F9"/>
    <w:rsid w:val="00E7384D"/>
    <w:rsid w:val="00E73D43"/>
    <w:rsid w:val="00E73E16"/>
    <w:rsid w:val="00E73E47"/>
    <w:rsid w:val="00E746B5"/>
    <w:rsid w:val="00E746F5"/>
    <w:rsid w:val="00E74C17"/>
    <w:rsid w:val="00E75738"/>
    <w:rsid w:val="00E758EA"/>
    <w:rsid w:val="00E758EB"/>
    <w:rsid w:val="00E75B5A"/>
    <w:rsid w:val="00E75BA0"/>
    <w:rsid w:val="00E7604B"/>
    <w:rsid w:val="00E76B28"/>
    <w:rsid w:val="00E8036E"/>
    <w:rsid w:val="00E81568"/>
    <w:rsid w:val="00E818F0"/>
    <w:rsid w:val="00E81A12"/>
    <w:rsid w:val="00E81B73"/>
    <w:rsid w:val="00E82403"/>
    <w:rsid w:val="00E82446"/>
    <w:rsid w:val="00E828F8"/>
    <w:rsid w:val="00E82E9A"/>
    <w:rsid w:val="00E82EA6"/>
    <w:rsid w:val="00E83233"/>
    <w:rsid w:val="00E83A0B"/>
    <w:rsid w:val="00E83BC7"/>
    <w:rsid w:val="00E83C79"/>
    <w:rsid w:val="00E83D30"/>
    <w:rsid w:val="00E84248"/>
    <w:rsid w:val="00E845E2"/>
    <w:rsid w:val="00E84909"/>
    <w:rsid w:val="00E84B94"/>
    <w:rsid w:val="00E850F6"/>
    <w:rsid w:val="00E85C3F"/>
    <w:rsid w:val="00E8635B"/>
    <w:rsid w:val="00E8641B"/>
    <w:rsid w:val="00E869FA"/>
    <w:rsid w:val="00E86AA1"/>
    <w:rsid w:val="00E87CA0"/>
    <w:rsid w:val="00E87DB2"/>
    <w:rsid w:val="00E87FD9"/>
    <w:rsid w:val="00E90A38"/>
    <w:rsid w:val="00E90C43"/>
    <w:rsid w:val="00E90EF9"/>
    <w:rsid w:val="00E91592"/>
    <w:rsid w:val="00E916C5"/>
    <w:rsid w:val="00E91AC9"/>
    <w:rsid w:val="00E91CEA"/>
    <w:rsid w:val="00E91D06"/>
    <w:rsid w:val="00E923D8"/>
    <w:rsid w:val="00E92A2F"/>
    <w:rsid w:val="00E92B98"/>
    <w:rsid w:val="00E92CA1"/>
    <w:rsid w:val="00E930CB"/>
    <w:rsid w:val="00E931AA"/>
    <w:rsid w:val="00E937BE"/>
    <w:rsid w:val="00E938B0"/>
    <w:rsid w:val="00E93AA4"/>
    <w:rsid w:val="00E93AA5"/>
    <w:rsid w:val="00E93CC2"/>
    <w:rsid w:val="00E93D09"/>
    <w:rsid w:val="00E94203"/>
    <w:rsid w:val="00E94811"/>
    <w:rsid w:val="00E94CC9"/>
    <w:rsid w:val="00E94EE6"/>
    <w:rsid w:val="00E94F3F"/>
    <w:rsid w:val="00E950A5"/>
    <w:rsid w:val="00E9514F"/>
    <w:rsid w:val="00E95232"/>
    <w:rsid w:val="00E953AE"/>
    <w:rsid w:val="00E956F2"/>
    <w:rsid w:val="00E95D85"/>
    <w:rsid w:val="00E95D93"/>
    <w:rsid w:val="00E95DF7"/>
    <w:rsid w:val="00E960E3"/>
    <w:rsid w:val="00E971E0"/>
    <w:rsid w:val="00E97DEE"/>
    <w:rsid w:val="00EA03E0"/>
    <w:rsid w:val="00EA0C8F"/>
    <w:rsid w:val="00EA0FD8"/>
    <w:rsid w:val="00EA134A"/>
    <w:rsid w:val="00EA1BCA"/>
    <w:rsid w:val="00EA1EFC"/>
    <w:rsid w:val="00EA2502"/>
    <w:rsid w:val="00EA28B0"/>
    <w:rsid w:val="00EA2B0B"/>
    <w:rsid w:val="00EA2B1A"/>
    <w:rsid w:val="00EA2FF4"/>
    <w:rsid w:val="00EA35C4"/>
    <w:rsid w:val="00EA35F5"/>
    <w:rsid w:val="00EA3777"/>
    <w:rsid w:val="00EA3944"/>
    <w:rsid w:val="00EA401E"/>
    <w:rsid w:val="00EA57D5"/>
    <w:rsid w:val="00EA63A6"/>
    <w:rsid w:val="00EA6FAA"/>
    <w:rsid w:val="00EA7366"/>
    <w:rsid w:val="00EA742A"/>
    <w:rsid w:val="00EA77AC"/>
    <w:rsid w:val="00EB0254"/>
    <w:rsid w:val="00EB0EB1"/>
    <w:rsid w:val="00EB109C"/>
    <w:rsid w:val="00EB1126"/>
    <w:rsid w:val="00EB1BE3"/>
    <w:rsid w:val="00EB1FD3"/>
    <w:rsid w:val="00EB2D7F"/>
    <w:rsid w:val="00EB3CEB"/>
    <w:rsid w:val="00EB3F75"/>
    <w:rsid w:val="00EB43FA"/>
    <w:rsid w:val="00EB484A"/>
    <w:rsid w:val="00EB4C64"/>
    <w:rsid w:val="00EB53F1"/>
    <w:rsid w:val="00EB5596"/>
    <w:rsid w:val="00EB55F5"/>
    <w:rsid w:val="00EB5834"/>
    <w:rsid w:val="00EB5921"/>
    <w:rsid w:val="00EB5B91"/>
    <w:rsid w:val="00EB5BBE"/>
    <w:rsid w:val="00EB5FAD"/>
    <w:rsid w:val="00EB63F4"/>
    <w:rsid w:val="00EB6519"/>
    <w:rsid w:val="00EB672C"/>
    <w:rsid w:val="00EB68B8"/>
    <w:rsid w:val="00EB6F25"/>
    <w:rsid w:val="00EB7297"/>
    <w:rsid w:val="00EB731D"/>
    <w:rsid w:val="00EB768F"/>
    <w:rsid w:val="00EB7B0A"/>
    <w:rsid w:val="00EB7F1C"/>
    <w:rsid w:val="00EB7F4E"/>
    <w:rsid w:val="00EC0102"/>
    <w:rsid w:val="00EC0D7F"/>
    <w:rsid w:val="00EC10AC"/>
    <w:rsid w:val="00EC147C"/>
    <w:rsid w:val="00EC1753"/>
    <w:rsid w:val="00EC19A4"/>
    <w:rsid w:val="00EC1BFF"/>
    <w:rsid w:val="00EC21E4"/>
    <w:rsid w:val="00EC23CF"/>
    <w:rsid w:val="00EC24D9"/>
    <w:rsid w:val="00EC291F"/>
    <w:rsid w:val="00EC3375"/>
    <w:rsid w:val="00EC3C06"/>
    <w:rsid w:val="00EC3EA4"/>
    <w:rsid w:val="00EC3F1C"/>
    <w:rsid w:val="00EC3F5B"/>
    <w:rsid w:val="00EC4089"/>
    <w:rsid w:val="00EC4140"/>
    <w:rsid w:val="00EC478A"/>
    <w:rsid w:val="00EC57BF"/>
    <w:rsid w:val="00EC66E8"/>
    <w:rsid w:val="00EC6991"/>
    <w:rsid w:val="00EC6C15"/>
    <w:rsid w:val="00EC6E28"/>
    <w:rsid w:val="00EC7449"/>
    <w:rsid w:val="00EC7834"/>
    <w:rsid w:val="00EC7CB7"/>
    <w:rsid w:val="00EC7EDD"/>
    <w:rsid w:val="00ED04A4"/>
    <w:rsid w:val="00ED05AE"/>
    <w:rsid w:val="00ED0AB4"/>
    <w:rsid w:val="00ED18BC"/>
    <w:rsid w:val="00ED20DA"/>
    <w:rsid w:val="00ED2653"/>
    <w:rsid w:val="00ED26B3"/>
    <w:rsid w:val="00ED284B"/>
    <w:rsid w:val="00ED2B4D"/>
    <w:rsid w:val="00ED2C56"/>
    <w:rsid w:val="00ED2D8B"/>
    <w:rsid w:val="00ED391D"/>
    <w:rsid w:val="00ED3FCB"/>
    <w:rsid w:val="00ED4B67"/>
    <w:rsid w:val="00ED664E"/>
    <w:rsid w:val="00ED6728"/>
    <w:rsid w:val="00ED787E"/>
    <w:rsid w:val="00ED79D6"/>
    <w:rsid w:val="00ED7A7A"/>
    <w:rsid w:val="00ED7D08"/>
    <w:rsid w:val="00ED7D49"/>
    <w:rsid w:val="00EE028F"/>
    <w:rsid w:val="00EE0341"/>
    <w:rsid w:val="00EE098D"/>
    <w:rsid w:val="00EE0C1E"/>
    <w:rsid w:val="00EE1271"/>
    <w:rsid w:val="00EE155E"/>
    <w:rsid w:val="00EE1A86"/>
    <w:rsid w:val="00EE1B1F"/>
    <w:rsid w:val="00EE23FF"/>
    <w:rsid w:val="00EE2A67"/>
    <w:rsid w:val="00EE3480"/>
    <w:rsid w:val="00EE3887"/>
    <w:rsid w:val="00EE39F2"/>
    <w:rsid w:val="00EE3ABA"/>
    <w:rsid w:val="00EE3C28"/>
    <w:rsid w:val="00EE43AE"/>
    <w:rsid w:val="00EE4CFE"/>
    <w:rsid w:val="00EE5370"/>
    <w:rsid w:val="00EE540D"/>
    <w:rsid w:val="00EE57C6"/>
    <w:rsid w:val="00EE6226"/>
    <w:rsid w:val="00EE6967"/>
    <w:rsid w:val="00EE6EBE"/>
    <w:rsid w:val="00EE7128"/>
    <w:rsid w:val="00EE7468"/>
    <w:rsid w:val="00EE7EEA"/>
    <w:rsid w:val="00EF0659"/>
    <w:rsid w:val="00EF07BC"/>
    <w:rsid w:val="00EF08B3"/>
    <w:rsid w:val="00EF0DF7"/>
    <w:rsid w:val="00EF0E06"/>
    <w:rsid w:val="00EF0F5D"/>
    <w:rsid w:val="00EF1209"/>
    <w:rsid w:val="00EF12D8"/>
    <w:rsid w:val="00EF13A5"/>
    <w:rsid w:val="00EF13A6"/>
    <w:rsid w:val="00EF14D2"/>
    <w:rsid w:val="00EF17B3"/>
    <w:rsid w:val="00EF2134"/>
    <w:rsid w:val="00EF246D"/>
    <w:rsid w:val="00EF2A9D"/>
    <w:rsid w:val="00EF30CA"/>
    <w:rsid w:val="00EF31BE"/>
    <w:rsid w:val="00EF3455"/>
    <w:rsid w:val="00EF37EB"/>
    <w:rsid w:val="00EF392F"/>
    <w:rsid w:val="00EF3D8B"/>
    <w:rsid w:val="00EF4051"/>
    <w:rsid w:val="00EF4107"/>
    <w:rsid w:val="00EF479D"/>
    <w:rsid w:val="00EF48C5"/>
    <w:rsid w:val="00EF4B81"/>
    <w:rsid w:val="00EF4E4C"/>
    <w:rsid w:val="00EF5145"/>
    <w:rsid w:val="00EF52C6"/>
    <w:rsid w:val="00EF5386"/>
    <w:rsid w:val="00EF53AF"/>
    <w:rsid w:val="00EF5589"/>
    <w:rsid w:val="00EF59B2"/>
    <w:rsid w:val="00EF602F"/>
    <w:rsid w:val="00EF619B"/>
    <w:rsid w:val="00EF62C4"/>
    <w:rsid w:val="00EF6536"/>
    <w:rsid w:val="00EF6940"/>
    <w:rsid w:val="00EF6A82"/>
    <w:rsid w:val="00EF6FDB"/>
    <w:rsid w:val="00EF7C6E"/>
    <w:rsid w:val="00EF7E6C"/>
    <w:rsid w:val="00EF7FE2"/>
    <w:rsid w:val="00F0073B"/>
    <w:rsid w:val="00F00AEB"/>
    <w:rsid w:val="00F00D6F"/>
    <w:rsid w:val="00F00D8C"/>
    <w:rsid w:val="00F0158B"/>
    <w:rsid w:val="00F01A57"/>
    <w:rsid w:val="00F01BE7"/>
    <w:rsid w:val="00F01FCA"/>
    <w:rsid w:val="00F0204A"/>
    <w:rsid w:val="00F0287B"/>
    <w:rsid w:val="00F02D8E"/>
    <w:rsid w:val="00F0308D"/>
    <w:rsid w:val="00F036DB"/>
    <w:rsid w:val="00F03B07"/>
    <w:rsid w:val="00F03ED8"/>
    <w:rsid w:val="00F03F18"/>
    <w:rsid w:val="00F0421B"/>
    <w:rsid w:val="00F04275"/>
    <w:rsid w:val="00F0479C"/>
    <w:rsid w:val="00F0542B"/>
    <w:rsid w:val="00F055A0"/>
    <w:rsid w:val="00F0567A"/>
    <w:rsid w:val="00F05713"/>
    <w:rsid w:val="00F057E3"/>
    <w:rsid w:val="00F05A9B"/>
    <w:rsid w:val="00F05BF7"/>
    <w:rsid w:val="00F0614F"/>
    <w:rsid w:val="00F06466"/>
    <w:rsid w:val="00F0680F"/>
    <w:rsid w:val="00F06C0D"/>
    <w:rsid w:val="00F07584"/>
    <w:rsid w:val="00F079B7"/>
    <w:rsid w:val="00F07C92"/>
    <w:rsid w:val="00F07F09"/>
    <w:rsid w:val="00F10285"/>
    <w:rsid w:val="00F10550"/>
    <w:rsid w:val="00F10A4D"/>
    <w:rsid w:val="00F10BFE"/>
    <w:rsid w:val="00F1115F"/>
    <w:rsid w:val="00F111D7"/>
    <w:rsid w:val="00F11720"/>
    <w:rsid w:val="00F1200A"/>
    <w:rsid w:val="00F126C9"/>
    <w:rsid w:val="00F12A2C"/>
    <w:rsid w:val="00F12DAA"/>
    <w:rsid w:val="00F12E59"/>
    <w:rsid w:val="00F137A2"/>
    <w:rsid w:val="00F13812"/>
    <w:rsid w:val="00F14126"/>
    <w:rsid w:val="00F14719"/>
    <w:rsid w:val="00F14CD7"/>
    <w:rsid w:val="00F15048"/>
    <w:rsid w:val="00F153D4"/>
    <w:rsid w:val="00F1552F"/>
    <w:rsid w:val="00F157D0"/>
    <w:rsid w:val="00F17136"/>
    <w:rsid w:val="00F1724B"/>
    <w:rsid w:val="00F17386"/>
    <w:rsid w:val="00F17A8C"/>
    <w:rsid w:val="00F17CD9"/>
    <w:rsid w:val="00F20FC3"/>
    <w:rsid w:val="00F2107E"/>
    <w:rsid w:val="00F2118A"/>
    <w:rsid w:val="00F211F1"/>
    <w:rsid w:val="00F21E3F"/>
    <w:rsid w:val="00F21F34"/>
    <w:rsid w:val="00F2313A"/>
    <w:rsid w:val="00F236C6"/>
    <w:rsid w:val="00F23CC9"/>
    <w:rsid w:val="00F23E74"/>
    <w:rsid w:val="00F244F1"/>
    <w:rsid w:val="00F24900"/>
    <w:rsid w:val="00F24CA1"/>
    <w:rsid w:val="00F2589E"/>
    <w:rsid w:val="00F258EB"/>
    <w:rsid w:val="00F2694C"/>
    <w:rsid w:val="00F26954"/>
    <w:rsid w:val="00F26DE5"/>
    <w:rsid w:val="00F27082"/>
    <w:rsid w:val="00F273AC"/>
    <w:rsid w:val="00F27466"/>
    <w:rsid w:val="00F27535"/>
    <w:rsid w:val="00F2762E"/>
    <w:rsid w:val="00F27818"/>
    <w:rsid w:val="00F27BD4"/>
    <w:rsid w:val="00F27F0F"/>
    <w:rsid w:val="00F3039D"/>
    <w:rsid w:val="00F30C1F"/>
    <w:rsid w:val="00F30FAF"/>
    <w:rsid w:val="00F31320"/>
    <w:rsid w:val="00F31E34"/>
    <w:rsid w:val="00F324EB"/>
    <w:rsid w:val="00F32ED2"/>
    <w:rsid w:val="00F33136"/>
    <w:rsid w:val="00F3322D"/>
    <w:rsid w:val="00F33581"/>
    <w:rsid w:val="00F34A8F"/>
    <w:rsid w:val="00F34B0B"/>
    <w:rsid w:val="00F34C2D"/>
    <w:rsid w:val="00F35811"/>
    <w:rsid w:val="00F35874"/>
    <w:rsid w:val="00F35FF6"/>
    <w:rsid w:val="00F36183"/>
    <w:rsid w:val="00F36562"/>
    <w:rsid w:val="00F3657C"/>
    <w:rsid w:val="00F36F0C"/>
    <w:rsid w:val="00F37AD3"/>
    <w:rsid w:val="00F37E52"/>
    <w:rsid w:val="00F40167"/>
    <w:rsid w:val="00F40287"/>
    <w:rsid w:val="00F40767"/>
    <w:rsid w:val="00F40A12"/>
    <w:rsid w:val="00F40FE3"/>
    <w:rsid w:val="00F414F4"/>
    <w:rsid w:val="00F4180E"/>
    <w:rsid w:val="00F419AB"/>
    <w:rsid w:val="00F41AA1"/>
    <w:rsid w:val="00F43786"/>
    <w:rsid w:val="00F43C2C"/>
    <w:rsid w:val="00F43EFC"/>
    <w:rsid w:val="00F44450"/>
    <w:rsid w:val="00F444E2"/>
    <w:rsid w:val="00F447FE"/>
    <w:rsid w:val="00F44AA4"/>
    <w:rsid w:val="00F44C61"/>
    <w:rsid w:val="00F44DEF"/>
    <w:rsid w:val="00F44E82"/>
    <w:rsid w:val="00F4518D"/>
    <w:rsid w:val="00F4520C"/>
    <w:rsid w:val="00F45384"/>
    <w:rsid w:val="00F4558D"/>
    <w:rsid w:val="00F4594C"/>
    <w:rsid w:val="00F46CDC"/>
    <w:rsid w:val="00F46DD7"/>
    <w:rsid w:val="00F46F5C"/>
    <w:rsid w:val="00F47744"/>
    <w:rsid w:val="00F47B09"/>
    <w:rsid w:val="00F50D4D"/>
    <w:rsid w:val="00F512F2"/>
    <w:rsid w:val="00F51D2C"/>
    <w:rsid w:val="00F51EB8"/>
    <w:rsid w:val="00F51F49"/>
    <w:rsid w:val="00F51FC4"/>
    <w:rsid w:val="00F527B9"/>
    <w:rsid w:val="00F52947"/>
    <w:rsid w:val="00F5302A"/>
    <w:rsid w:val="00F53174"/>
    <w:rsid w:val="00F53354"/>
    <w:rsid w:val="00F5470A"/>
    <w:rsid w:val="00F549BA"/>
    <w:rsid w:val="00F54EF2"/>
    <w:rsid w:val="00F554DA"/>
    <w:rsid w:val="00F555DD"/>
    <w:rsid w:val="00F55C36"/>
    <w:rsid w:val="00F55F4B"/>
    <w:rsid w:val="00F563B8"/>
    <w:rsid w:val="00F5651E"/>
    <w:rsid w:val="00F56BD9"/>
    <w:rsid w:val="00F56FAA"/>
    <w:rsid w:val="00F573BC"/>
    <w:rsid w:val="00F60289"/>
    <w:rsid w:val="00F6097E"/>
    <w:rsid w:val="00F60B62"/>
    <w:rsid w:val="00F60BEB"/>
    <w:rsid w:val="00F60CCB"/>
    <w:rsid w:val="00F616DD"/>
    <w:rsid w:val="00F61DE4"/>
    <w:rsid w:val="00F6236C"/>
    <w:rsid w:val="00F62CD4"/>
    <w:rsid w:val="00F634EA"/>
    <w:rsid w:val="00F6385D"/>
    <w:rsid w:val="00F63A5A"/>
    <w:rsid w:val="00F63AD6"/>
    <w:rsid w:val="00F640DB"/>
    <w:rsid w:val="00F642F6"/>
    <w:rsid w:val="00F64383"/>
    <w:rsid w:val="00F6451A"/>
    <w:rsid w:val="00F6481E"/>
    <w:rsid w:val="00F65716"/>
    <w:rsid w:val="00F65D5D"/>
    <w:rsid w:val="00F660F7"/>
    <w:rsid w:val="00F66150"/>
    <w:rsid w:val="00F664BE"/>
    <w:rsid w:val="00F66697"/>
    <w:rsid w:val="00F675FC"/>
    <w:rsid w:val="00F67BE3"/>
    <w:rsid w:val="00F70DDB"/>
    <w:rsid w:val="00F70EE8"/>
    <w:rsid w:val="00F7138A"/>
    <w:rsid w:val="00F71FBD"/>
    <w:rsid w:val="00F72DCF"/>
    <w:rsid w:val="00F72E86"/>
    <w:rsid w:val="00F735A0"/>
    <w:rsid w:val="00F7393D"/>
    <w:rsid w:val="00F73F96"/>
    <w:rsid w:val="00F74309"/>
    <w:rsid w:val="00F74C6D"/>
    <w:rsid w:val="00F74ECA"/>
    <w:rsid w:val="00F75499"/>
    <w:rsid w:val="00F7596F"/>
    <w:rsid w:val="00F76094"/>
    <w:rsid w:val="00F760DB"/>
    <w:rsid w:val="00F7654C"/>
    <w:rsid w:val="00F76759"/>
    <w:rsid w:val="00F76E8F"/>
    <w:rsid w:val="00F76F6D"/>
    <w:rsid w:val="00F771B9"/>
    <w:rsid w:val="00F77ECA"/>
    <w:rsid w:val="00F77F9F"/>
    <w:rsid w:val="00F77FD2"/>
    <w:rsid w:val="00F802A9"/>
    <w:rsid w:val="00F80B27"/>
    <w:rsid w:val="00F80B2C"/>
    <w:rsid w:val="00F80C51"/>
    <w:rsid w:val="00F8136A"/>
    <w:rsid w:val="00F81978"/>
    <w:rsid w:val="00F81AFC"/>
    <w:rsid w:val="00F81BA2"/>
    <w:rsid w:val="00F82570"/>
    <w:rsid w:val="00F82729"/>
    <w:rsid w:val="00F82852"/>
    <w:rsid w:val="00F82A41"/>
    <w:rsid w:val="00F83214"/>
    <w:rsid w:val="00F839AD"/>
    <w:rsid w:val="00F846C6"/>
    <w:rsid w:val="00F84A8F"/>
    <w:rsid w:val="00F84BA3"/>
    <w:rsid w:val="00F84C39"/>
    <w:rsid w:val="00F857FA"/>
    <w:rsid w:val="00F86269"/>
    <w:rsid w:val="00F863FD"/>
    <w:rsid w:val="00F86B53"/>
    <w:rsid w:val="00F87377"/>
    <w:rsid w:val="00F873B2"/>
    <w:rsid w:val="00F876C8"/>
    <w:rsid w:val="00F87FD3"/>
    <w:rsid w:val="00F90C7E"/>
    <w:rsid w:val="00F90F48"/>
    <w:rsid w:val="00F911EB"/>
    <w:rsid w:val="00F91507"/>
    <w:rsid w:val="00F92662"/>
    <w:rsid w:val="00F92FB8"/>
    <w:rsid w:val="00F932FA"/>
    <w:rsid w:val="00F93396"/>
    <w:rsid w:val="00F93606"/>
    <w:rsid w:val="00F93F65"/>
    <w:rsid w:val="00F94D20"/>
    <w:rsid w:val="00F9530D"/>
    <w:rsid w:val="00F9571D"/>
    <w:rsid w:val="00F959DA"/>
    <w:rsid w:val="00F95D78"/>
    <w:rsid w:val="00F95F97"/>
    <w:rsid w:val="00F966B4"/>
    <w:rsid w:val="00F968C0"/>
    <w:rsid w:val="00F968ED"/>
    <w:rsid w:val="00F9696D"/>
    <w:rsid w:val="00F972F7"/>
    <w:rsid w:val="00F97306"/>
    <w:rsid w:val="00F97445"/>
    <w:rsid w:val="00F97449"/>
    <w:rsid w:val="00FA0873"/>
    <w:rsid w:val="00FA0EE2"/>
    <w:rsid w:val="00FA12D8"/>
    <w:rsid w:val="00FA1403"/>
    <w:rsid w:val="00FA14CB"/>
    <w:rsid w:val="00FA226A"/>
    <w:rsid w:val="00FA27DB"/>
    <w:rsid w:val="00FA2D7B"/>
    <w:rsid w:val="00FA3734"/>
    <w:rsid w:val="00FA3ABF"/>
    <w:rsid w:val="00FA3D10"/>
    <w:rsid w:val="00FA4219"/>
    <w:rsid w:val="00FA4D6E"/>
    <w:rsid w:val="00FA4FB0"/>
    <w:rsid w:val="00FA575A"/>
    <w:rsid w:val="00FA59C5"/>
    <w:rsid w:val="00FA5B64"/>
    <w:rsid w:val="00FA5D87"/>
    <w:rsid w:val="00FA620C"/>
    <w:rsid w:val="00FA654D"/>
    <w:rsid w:val="00FA67FC"/>
    <w:rsid w:val="00FA6A6B"/>
    <w:rsid w:val="00FA6C8F"/>
    <w:rsid w:val="00FA6FE0"/>
    <w:rsid w:val="00FA7159"/>
    <w:rsid w:val="00FA71F3"/>
    <w:rsid w:val="00FA73CD"/>
    <w:rsid w:val="00FA78AA"/>
    <w:rsid w:val="00FA7958"/>
    <w:rsid w:val="00FA7D0B"/>
    <w:rsid w:val="00FB0316"/>
    <w:rsid w:val="00FB0791"/>
    <w:rsid w:val="00FB0A8D"/>
    <w:rsid w:val="00FB18FB"/>
    <w:rsid w:val="00FB1955"/>
    <w:rsid w:val="00FB28B0"/>
    <w:rsid w:val="00FB2D42"/>
    <w:rsid w:val="00FB36FE"/>
    <w:rsid w:val="00FB3D33"/>
    <w:rsid w:val="00FB4191"/>
    <w:rsid w:val="00FB42D1"/>
    <w:rsid w:val="00FB4362"/>
    <w:rsid w:val="00FB49A6"/>
    <w:rsid w:val="00FB4CA5"/>
    <w:rsid w:val="00FB4DF0"/>
    <w:rsid w:val="00FB4EEA"/>
    <w:rsid w:val="00FB5452"/>
    <w:rsid w:val="00FB5A01"/>
    <w:rsid w:val="00FB5DB7"/>
    <w:rsid w:val="00FB6025"/>
    <w:rsid w:val="00FB6171"/>
    <w:rsid w:val="00FB639F"/>
    <w:rsid w:val="00FB6447"/>
    <w:rsid w:val="00FB66CC"/>
    <w:rsid w:val="00FB6B5E"/>
    <w:rsid w:val="00FB6EE7"/>
    <w:rsid w:val="00FB7841"/>
    <w:rsid w:val="00FB78B4"/>
    <w:rsid w:val="00FB7B0D"/>
    <w:rsid w:val="00FC0199"/>
    <w:rsid w:val="00FC040D"/>
    <w:rsid w:val="00FC060D"/>
    <w:rsid w:val="00FC13D2"/>
    <w:rsid w:val="00FC16EF"/>
    <w:rsid w:val="00FC1916"/>
    <w:rsid w:val="00FC236D"/>
    <w:rsid w:val="00FC2510"/>
    <w:rsid w:val="00FC25EA"/>
    <w:rsid w:val="00FC2913"/>
    <w:rsid w:val="00FC296F"/>
    <w:rsid w:val="00FC2A6B"/>
    <w:rsid w:val="00FC32D8"/>
    <w:rsid w:val="00FC3703"/>
    <w:rsid w:val="00FC3960"/>
    <w:rsid w:val="00FC398D"/>
    <w:rsid w:val="00FC39E6"/>
    <w:rsid w:val="00FC3D0F"/>
    <w:rsid w:val="00FC448F"/>
    <w:rsid w:val="00FC4681"/>
    <w:rsid w:val="00FC471F"/>
    <w:rsid w:val="00FC4C1A"/>
    <w:rsid w:val="00FC4E9D"/>
    <w:rsid w:val="00FC4EA4"/>
    <w:rsid w:val="00FC5129"/>
    <w:rsid w:val="00FC51C0"/>
    <w:rsid w:val="00FC5476"/>
    <w:rsid w:val="00FC54A6"/>
    <w:rsid w:val="00FC57C3"/>
    <w:rsid w:val="00FC58DA"/>
    <w:rsid w:val="00FC5E87"/>
    <w:rsid w:val="00FC6294"/>
    <w:rsid w:val="00FC6A2D"/>
    <w:rsid w:val="00FC6D1B"/>
    <w:rsid w:val="00FC71E4"/>
    <w:rsid w:val="00FC769C"/>
    <w:rsid w:val="00FC7B43"/>
    <w:rsid w:val="00FC7FC2"/>
    <w:rsid w:val="00FD10A5"/>
    <w:rsid w:val="00FD11D8"/>
    <w:rsid w:val="00FD1AC7"/>
    <w:rsid w:val="00FD1DC5"/>
    <w:rsid w:val="00FD1F17"/>
    <w:rsid w:val="00FD2E39"/>
    <w:rsid w:val="00FD32E0"/>
    <w:rsid w:val="00FD378D"/>
    <w:rsid w:val="00FD3920"/>
    <w:rsid w:val="00FD3F8F"/>
    <w:rsid w:val="00FD49D5"/>
    <w:rsid w:val="00FD5391"/>
    <w:rsid w:val="00FD5743"/>
    <w:rsid w:val="00FD5A59"/>
    <w:rsid w:val="00FD5FB8"/>
    <w:rsid w:val="00FD6A83"/>
    <w:rsid w:val="00FD7789"/>
    <w:rsid w:val="00FD7843"/>
    <w:rsid w:val="00FE0387"/>
    <w:rsid w:val="00FE04FE"/>
    <w:rsid w:val="00FE12B9"/>
    <w:rsid w:val="00FE1687"/>
    <w:rsid w:val="00FE1894"/>
    <w:rsid w:val="00FE2024"/>
    <w:rsid w:val="00FE2049"/>
    <w:rsid w:val="00FE225B"/>
    <w:rsid w:val="00FE2FF6"/>
    <w:rsid w:val="00FE37BC"/>
    <w:rsid w:val="00FE3B4A"/>
    <w:rsid w:val="00FE3BBD"/>
    <w:rsid w:val="00FE4152"/>
    <w:rsid w:val="00FE41BE"/>
    <w:rsid w:val="00FE44B6"/>
    <w:rsid w:val="00FE44DC"/>
    <w:rsid w:val="00FE4A2E"/>
    <w:rsid w:val="00FE4AA3"/>
    <w:rsid w:val="00FE4CCD"/>
    <w:rsid w:val="00FE4FBC"/>
    <w:rsid w:val="00FE50BF"/>
    <w:rsid w:val="00FE5B20"/>
    <w:rsid w:val="00FE5E1C"/>
    <w:rsid w:val="00FE6120"/>
    <w:rsid w:val="00FE64D5"/>
    <w:rsid w:val="00FE66FF"/>
    <w:rsid w:val="00FE6A8E"/>
    <w:rsid w:val="00FE6B2F"/>
    <w:rsid w:val="00FE7015"/>
    <w:rsid w:val="00FE7050"/>
    <w:rsid w:val="00FE7195"/>
    <w:rsid w:val="00FE752A"/>
    <w:rsid w:val="00FE77C5"/>
    <w:rsid w:val="00FE7E0D"/>
    <w:rsid w:val="00FE7F47"/>
    <w:rsid w:val="00FF003F"/>
    <w:rsid w:val="00FF00E1"/>
    <w:rsid w:val="00FF01A5"/>
    <w:rsid w:val="00FF0861"/>
    <w:rsid w:val="00FF0F64"/>
    <w:rsid w:val="00FF121D"/>
    <w:rsid w:val="00FF12A8"/>
    <w:rsid w:val="00FF1401"/>
    <w:rsid w:val="00FF1819"/>
    <w:rsid w:val="00FF2008"/>
    <w:rsid w:val="00FF26F6"/>
    <w:rsid w:val="00FF2DEB"/>
    <w:rsid w:val="00FF31A0"/>
    <w:rsid w:val="00FF33FB"/>
    <w:rsid w:val="00FF3552"/>
    <w:rsid w:val="00FF35B3"/>
    <w:rsid w:val="00FF42D6"/>
    <w:rsid w:val="00FF4320"/>
    <w:rsid w:val="00FF49EA"/>
    <w:rsid w:val="00FF4CB1"/>
    <w:rsid w:val="00FF4FCF"/>
    <w:rsid w:val="00FF595E"/>
    <w:rsid w:val="00FF5BB7"/>
    <w:rsid w:val="00FF5EE9"/>
    <w:rsid w:val="00FF616C"/>
    <w:rsid w:val="00FF689A"/>
    <w:rsid w:val="00FF6A22"/>
    <w:rsid w:val="00FF6D33"/>
    <w:rsid w:val="00FF7A04"/>
    <w:rsid w:val="00FF7AD2"/>
    <w:rsid w:val="00FF7D2A"/>
    <w:rsid w:val="00FF7FC7"/>
    <w:rsid w:val="011E0B0E"/>
    <w:rsid w:val="013719A0"/>
    <w:rsid w:val="016D3EEB"/>
    <w:rsid w:val="01746C6F"/>
    <w:rsid w:val="01D94415"/>
    <w:rsid w:val="026176B4"/>
    <w:rsid w:val="027007E6"/>
    <w:rsid w:val="029728BD"/>
    <w:rsid w:val="031C5D26"/>
    <w:rsid w:val="037D4AC6"/>
    <w:rsid w:val="03CA1FF1"/>
    <w:rsid w:val="041476CE"/>
    <w:rsid w:val="0480610D"/>
    <w:rsid w:val="04950238"/>
    <w:rsid w:val="04E167E1"/>
    <w:rsid w:val="04F43931"/>
    <w:rsid w:val="0579077F"/>
    <w:rsid w:val="060E53FE"/>
    <w:rsid w:val="06B34F7C"/>
    <w:rsid w:val="06D959D1"/>
    <w:rsid w:val="06E92564"/>
    <w:rsid w:val="06EB6E0C"/>
    <w:rsid w:val="070D1317"/>
    <w:rsid w:val="072765A1"/>
    <w:rsid w:val="074D210E"/>
    <w:rsid w:val="07D9054B"/>
    <w:rsid w:val="086E0484"/>
    <w:rsid w:val="088F2317"/>
    <w:rsid w:val="08903B99"/>
    <w:rsid w:val="08F43F19"/>
    <w:rsid w:val="08FA4875"/>
    <w:rsid w:val="093534A9"/>
    <w:rsid w:val="09B1118F"/>
    <w:rsid w:val="09E86DDD"/>
    <w:rsid w:val="0A3906D2"/>
    <w:rsid w:val="0AB522C9"/>
    <w:rsid w:val="0AD07341"/>
    <w:rsid w:val="0AED7E54"/>
    <w:rsid w:val="0B541A70"/>
    <w:rsid w:val="0B853210"/>
    <w:rsid w:val="0CC240AE"/>
    <w:rsid w:val="0CDE6EAC"/>
    <w:rsid w:val="0D4870DB"/>
    <w:rsid w:val="0D602AF2"/>
    <w:rsid w:val="0D8A0E07"/>
    <w:rsid w:val="0ED2335F"/>
    <w:rsid w:val="0EFE54A8"/>
    <w:rsid w:val="0F764D10"/>
    <w:rsid w:val="0F77273B"/>
    <w:rsid w:val="104F3B50"/>
    <w:rsid w:val="10814BDC"/>
    <w:rsid w:val="10B262A5"/>
    <w:rsid w:val="10B50D7B"/>
    <w:rsid w:val="11190D3B"/>
    <w:rsid w:val="11201FA3"/>
    <w:rsid w:val="11480C93"/>
    <w:rsid w:val="11EE1F77"/>
    <w:rsid w:val="122B27B2"/>
    <w:rsid w:val="123F1DBA"/>
    <w:rsid w:val="12843927"/>
    <w:rsid w:val="12BA566A"/>
    <w:rsid w:val="133977F2"/>
    <w:rsid w:val="13F8111F"/>
    <w:rsid w:val="13F92DC2"/>
    <w:rsid w:val="152704C0"/>
    <w:rsid w:val="1533034A"/>
    <w:rsid w:val="159670CF"/>
    <w:rsid w:val="15BE4862"/>
    <w:rsid w:val="15CF35E8"/>
    <w:rsid w:val="16F16AF8"/>
    <w:rsid w:val="17037DD1"/>
    <w:rsid w:val="17AE0E43"/>
    <w:rsid w:val="17CF1CBE"/>
    <w:rsid w:val="18D6258B"/>
    <w:rsid w:val="197F11D1"/>
    <w:rsid w:val="19877AF0"/>
    <w:rsid w:val="19DD4B88"/>
    <w:rsid w:val="1A3F149C"/>
    <w:rsid w:val="1AA209F6"/>
    <w:rsid w:val="1B363FB3"/>
    <w:rsid w:val="1B950C9D"/>
    <w:rsid w:val="1C017BD9"/>
    <w:rsid w:val="1D477216"/>
    <w:rsid w:val="1EC45058"/>
    <w:rsid w:val="1ED80098"/>
    <w:rsid w:val="1EE931C8"/>
    <w:rsid w:val="1F501AAA"/>
    <w:rsid w:val="1F64377F"/>
    <w:rsid w:val="1FC2654D"/>
    <w:rsid w:val="201F0686"/>
    <w:rsid w:val="202B2093"/>
    <w:rsid w:val="20603AD5"/>
    <w:rsid w:val="20674F40"/>
    <w:rsid w:val="20AE273A"/>
    <w:rsid w:val="21386412"/>
    <w:rsid w:val="214E37C2"/>
    <w:rsid w:val="218F2219"/>
    <w:rsid w:val="21953671"/>
    <w:rsid w:val="21B3475B"/>
    <w:rsid w:val="21D608E3"/>
    <w:rsid w:val="22437E48"/>
    <w:rsid w:val="22A144DF"/>
    <w:rsid w:val="22D746A6"/>
    <w:rsid w:val="23081905"/>
    <w:rsid w:val="231D5756"/>
    <w:rsid w:val="23945FD9"/>
    <w:rsid w:val="23957EB0"/>
    <w:rsid w:val="242F5842"/>
    <w:rsid w:val="248B0439"/>
    <w:rsid w:val="24FD63CA"/>
    <w:rsid w:val="258F79B3"/>
    <w:rsid w:val="259415D3"/>
    <w:rsid w:val="25CB31A0"/>
    <w:rsid w:val="261153EB"/>
    <w:rsid w:val="26365340"/>
    <w:rsid w:val="268F3BB6"/>
    <w:rsid w:val="26D80B76"/>
    <w:rsid w:val="26F529C6"/>
    <w:rsid w:val="27813B39"/>
    <w:rsid w:val="27A33318"/>
    <w:rsid w:val="27C876F8"/>
    <w:rsid w:val="281D775F"/>
    <w:rsid w:val="28EF21D8"/>
    <w:rsid w:val="29650BA5"/>
    <w:rsid w:val="29CF164C"/>
    <w:rsid w:val="29EB79BD"/>
    <w:rsid w:val="2A997AF3"/>
    <w:rsid w:val="2AB01C96"/>
    <w:rsid w:val="2AC571A0"/>
    <w:rsid w:val="2AF13045"/>
    <w:rsid w:val="2B6B7E4B"/>
    <w:rsid w:val="2B7A0E61"/>
    <w:rsid w:val="2C040F92"/>
    <w:rsid w:val="2C386210"/>
    <w:rsid w:val="2C9A7238"/>
    <w:rsid w:val="2CE84DB9"/>
    <w:rsid w:val="2D1F2D15"/>
    <w:rsid w:val="2D2E0DB1"/>
    <w:rsid w:val="2D6B6406"/>
    <w:rsid w:val="2E016F62"/>
    <w:rsid w:val="2E516D92"/>
    <w:rsid w:val="2EF717E5"/>
    <w:rsid w:val="2F284E5B"/>
    <w:rsid w:val="2F59133A"/>
    <w:rsid w:val="2FAA2485"/>
    <w:rsid w:val="30702187"/>
    <w:rsid w:val="30A32D5D"/>
    <w:rsid w:val="30B67C57"/>
    <w:rsid w:val="312971AF"/>
    <w:rsid w:val="317555CC"/>
    <w:rsid w:val="31934F8F"/>
    <w:rsid w:val="31F377C4"/>
    <w:rsid w:val="32567EDE"/>
    <w:rsid w:val="329E1992"/>
    <w:rsid w:val="32F448C6"/>
    <w:rsid w:val="330E4C4E"/>
    <w:rsid w:val="335A1910"/>
    <w:rsid w:val="33C54DA5"/>
    <w:rsid w:val="33E45D2C"/>
    <w:rsid w:val="343C3CDF"/>
    <w:rsid w:val="343E7C43"/>
    <w:rsid w:val="346F4C16"/>
    <w:rsid w:val="34807DFF"/>
    <w:rsid w:val="3525289C"/>
    <w:rsid w:val="35323100"/>
    <w:rsid w:val="35D408E8"/>
    <w:rsid w:val="36293BE7"/>
    <w:rsid w:val="36DB4D0F"/>
    <w:rsid w:val="36F30C11"/>
    <w:rsid w:val="372C3815"/>
    <w:rsid w:val="380D64EC"/>
    <w:rsid w:val="381A2D97"/>
    <w:rsid w:val="384E56BC"/>
    <w:rsid w:val="385C4DB6"/>
    <w:rsid w:val="38BE0A7F"/>
    <w:rsid w:val="390958D1"/>
    <w:rsid w:val="39561BA0"/>
    <w:rsid w:val="39C82DD9"/>
    <w:rsid w:val="39E1011A"/>
    <w:rsid w:val="3A324F6E"/>
    <w:rsid w:val="3A3F294C"/>
    <w:rsid w:val="3A717D6E"/>
    <w:rsid w:val="3AA17061"/>
    <w:rsid w:val="3BAD1CF4"/>
    <w:rsid w:val="3BE738E7"/>
    <w:rsid w:val="3BEB24E7"/>
    <w:rsid w:val="3C1C0A9D"/>
    <w:rsid w:val="3CB5220B"/>
    <w:rsid w:val="3CF560ED"/>
    <w:rsid w:val="3DB771CD"/>
    <w:rsid w:val="3DC708C7"/>
    <w:rsid w:val="3DF21F2E"/>
    <w:rsid w:val="3F3027CD"/>
    <w:rsid w:val="3F5B311D"/>
    <w:rsid w:val="3F5D28DF"/>
    <w:rsid w:val="3F78285C"/>
    <w:rsid w:val="3FA442EA"/>
    <w:rsid w:val="40122534"/>
    <w:rsid w:val="40303C63"/>
    <w:rsid w:val="40491156"/>
    <w:rsid w:val="407E0E9B"/>
    <w:rsid w:val="40893D6D"/>
    <w:rsid w:val="40B530AB"/>
    <w:rsid w:val="418C651A"/>
    <w:rsid w:val="418D4C98"/>
    <w:rsid w:val="419C518C"/>
    <w:rsid w:val="41D32284"/>
    <w:rsid w:val="42105272"/>
    <w:rsid w:val="421A3B26"/>
    <w:rsid w:val="423C5E2E"/>
    <w:rsid w:val="425424E3"/>
    <w:rsid w:val="426D6045"/>
    <w:rsid w:val="43DD496D"/>
    <w:rsid w:val="44046996"/>
    <w:rsid w:val="44501221"/>
    <w:rsid w:val="4468320E"/>
    <w:rsid w:val="44DA7C42"/>
    <w:rsid w:val="44F0413F"/>
    <w:rsid w:val="44F31836"/>
    <w:rsid w:val="452D0EC4"/>
    <w:rsid w:val="455F082E"/>
    <w:rsid w:val="45E04A06"/>
    <w:rsid w:val="463E4F70"/>
    <w:rsid w:val="464F0AEA"/>
    <w:rsid w:val="46D47568"/>
    <w:rsid w:val="46E36C94"/>
    <w:rsid w:val="47580A7A"/>
    <w:rsid w:val="478C70EC"/>
    <w:rsid w:val="48580468"/>
    <w:rsid w:val="486A6EDB"/>
    <w:rsid w:val="487B1A7F"/>
    <w:rsid w:val="48A40308"/>
    <w:rsid w:val="48CE566A"/>
    <w:rsid w:val="48E43FA6"/>
    <w:rsid w:val="494670DD"/>
    <w:rsid w:val="49CF2253"/>
    <w:rsid w:val="4A0C168D"/>
    <w:rsid w:val="4A531BFE"/>
    <w:rsid w:val="4A7F5DCC"/>
    <w:rsid w:val="4A962F02"/>
    <w:rsid w:val="4AA147A1"/>
    <w:rsid w:val="4ABA4C15"/>
    <w:rsid w:val="4AE72A13"/>
    <w:rsid w:val="4B075FDE"/>
    <w:rsid w:val="4B315D69"/>
    <w:rsid w:val="4B5A5CE9"/>
    <w:rsid w:val="4B766D27"/>
    <w:rsid w:val="4C26121A"/>
    <w:rsid w:val="4CFC5816"/>
    <w:rsid w:val="4ED90B51"/>
    <w:rsid w:val="4F4E7DA7"/>
    <w:rsid w:val="4F667FFF"/>
    <w:rsid w:val="4FB045C9"/>
    <w:rsid w:val="4FEE6A6C"/>
    <w:rsid w:val="4FFA4AA7"/>
    <w:rsid w:val="50A47454"/>
    <w:rsid w:val="50AE292C"/>
    <w:rsid w:val="51563B20"/>
    <w:rsid w:val="51AD399A"/>
    <w:rsid w:val="51ED73F6"/>
    <w:rsid w:val="522608A0"/>
    <w:rsid w:val="52666914"/>
    <w:rsid w:val="526D7CA2"/>
    <w:rsid w:val="52AA2196"/>
    <w:rsid w:val="52C5089C"/>
    <w:rsid w:val="531371D9"/>
    <w:rsid w:val="53225794"/>
    <w:rsid w:val="53991B82"/>
    <w:rsid w:val="550874B1"/>
    <w:rsid w:val="550C216A"/>
    <w:rsid w:val="55655F2E"/>
    <w:rsid w:val="55CC0ABB"/>
    <w:rsid w:val="55DD04FC"/>
    <w:rsid w:val="56FC1AF7"/>
    <w:rsid w:val="579219AF"/>
    <w:rsid w:val="57B50B04"/>
    <w:rsid w:val="585A5A0D"/>
    <w:rsid w:val="58CE3242"/>
    <w:rsid w:val="59010D1F"/>
    <w:rsid w:val="596001B3"/>
    <w:rsid w:val="598B5B3A"/>
    <w:rsid w:val="5A5A41C8"/>
    <w:rsid w:val="5ACC4575"/>
    <w:rsid w:val="5B4B62C2"/>
    <w:rsid w:val="5B7B3430"/>
    <w:rsid w:val="5B913B75"/>
    <w:rsid w:val="5BFE3533"/>
    <w:rsid w:val="5C5B67EC"/>
    <w:rsid w:val="5CA73892"/>
    <w:rsid w:val="5CCB41D5"/>
    <w:rsid w:val="5D982E1B"/>
    <w:rsid w:val="5DC50518"/>
    <w:rsid w:val="5DEA73F0"/>
    <w:rsid w:val="5E0D2339"/>
    <w:rsid w:val="5E0D665D"/>
    <w:rsid w:val="5E922B25"/>
    <w:rsid w:val="5F2E1794"/>
    <w:rsid w:val="5F4D6FE9"/>
    <w:rsid w:val="5FF87151"/>
    <w:rsid w:val="608365AE"/>
    <w:rsid w:val="60CF2B62"/>
    <w:rsid w:val="621B3B41"/>
    <w:rsid w:val="62A04840"/>
    <w:rsid w:val="62B83782"/>
    <w:rsid w:val="631250A7"/>
    <w:rsid w:val="63363B4F"/>
    <w:rsid w:val="63C36778"/>
    <w:rsid w:val="63C52699"/>
    <w:rsid w:val="64041226"/>
    <w:rsid w:val="64211AAC"/>
    <w:rsid w:val="646D518A"/>
    <w:rsid w:val="647467E1"/>
    <w:rsid w:val="64F247CA"/>
    <w:rsid w:val="65C732A0"/>
    <w:rsid w:val="66077144"/>
    <w:rsid w:val="66BE2B76"/>
    <w:rsid w:val="67AA4831"/>
    <w:rsid w:val="67F70A04"/>
    <w:rsid w:val="68B15F83"/>
    <w:rsid w:val="68D229A8"/>
    <w:rsid w:val="698807A8"/>
    <w:rsid w:val="699477B1"/>
    <w:rsid w:val="6ADF61EC"/>
    <w:rsid w:val="6B851E4C"/>
    <w:rsid w:val="6C3E6FD6"/>
    <w:rsid w:val="6CEF5401"/>
    <w:rsid w:val="6DA31E1B"/>
    <w:rsid w:val="6DF14A0D"/>
    <w:rsid w:val="6E0D584D"/>
    <w:rsid w:val="6E2806A6"/>
    <w:rsid w:val="6E5A3451"/>
    <w:rsid w:val="6E6526A9"/>
    <w:rsid w:val="6EAB1863"/>
    <w:rsid w:val="6EB743BF"/>
    <w:rsid w:val="6F8C71D0"/>
    <w:rsid w:val="6FE7359B"/>
    <w:rsid w:val="70152F70"/>
    <w:rsid w:val="701651B5"/>
    <w:rsid w:val="704E2389"/>
    <w:rsid w:val="70744139"/>
    <w:rsid w:val="709B0977"/>
    <w:rsid w:val="70EB6BD0"/>
    <w:rsid w:val="712C2E3A"/>
    <w:rsid w:val="71973918"/>
    <w:rsid w:val="7198737D"/>
    <w:rsid w:val="71A541F2"/>
    <w:rsid w:val="721F5CC8"/>
    <w:rsid w:val="729C34D0"/>
    <w:rsid w:val="72AB2098"/>
    <w:rsid w:val="72D20FEF"/>
    <w:rsid w:val="733F131A"/>
    <w:rsid w:val="73CD013A"/>
    <w:rsid w:val="7489001F"/>
    <w:rsid w:val="74B34DDE"/>
    <w:rsid w:val="74D629BE"/>
    <w:rsid w:val="7523581C"/>
    <w:rsid w:val="757D6D8A"/>
    <w:rsid w:val="770F1364"/>
    <w:rsid w:val="779E52EB"/>
    <w:rsid w:val="780043A4"/>
    <w:rsid w:val="78782475"/>
    <w:rsid w:val="789D5185"/>
    <w:rsid w:val="792C769C"/>
    <w:rsid w:val="79BC1EC7"/>
    <w:rsid w:val="7A4C54CC"/>
    <w:rsid w:val="7A7F54EA"/>
    <w:rsid w:val="7B0E5498"/>
    <w:rsid w:val="7B174AA8"/>
    <w:rsid w:val="7B2B7B1F"/>
    <w:rsid w:val="7BDA2241"/>
    <w:rsid w:val="7C06069C"/>
    <w:rsid w:val="7C0A6667"/>
    <w:rsid w:val="7C547EF9"/>
    <w:rsid w:val="7C7C3FC9"/>
    <w:rsid w:val="7C9556D4"/>
    <w:rsid w:val="7C9D3D35"/>
    <w:rsid w:val="7D0D1339"/>
    <w:rsid w:val="7D6D4BD6"/>
    <w:rsid w:val="7D8F4E1D"/>
    <w:rsid w:val="7E421AF4"/>
    <w:rsid w:val="7ED17F07"/>
    <w:rsid w:val="7F5D067C"/>
    <w:rsid w:val="7F6F6C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name="Normal Indent"/>
    <w:lsdException w:unhideWhenUsed="0" w:uiPriority="0" w:semiHidden="0" w:name="footnote text"/>
    <w:lsdException w:qFormat="1" w:unhideWhenUsed="0" w:uiPriority="0" w:name="annotation text"/>
    <w:lsdException w:qFormat="1" w:unhideWhenUsed="0" w:uiPriority="0" w:name="header"/>
    <w:lsdException w:qFormat="1" w:unhideWhenUsed="0" w:uiPriority="0" w:name="footer"/>
    <w:lsdException w:unhideWhenUsed="0" w:uiPriority="0" w:semiHidden="0" w:name="index heading"/>
    <w:lsdException w:qFormat="1" w:unhideWhenUsed="0" w:uiPriority="0" w:semiHidden="0" w:name="caption"/>
    <w:lsdException w:qFormat="1" w:unhideWhenUsed="0" w:uiPriority="0" w:name="table of figures"/>
    <w:lsdException w:qFormat="1" w:unhideWhenUsed="0" w:uiPriority="0" w:name="envelope address"/>
    <w:lsdException w:qFormat="1" w:unhideWhenUsed="0" w:uiPriority="0" w:name="envelope return"/>
    <w:lsdException w:unhideWhenUsed="0" w:uiPriority="0" w:semiHidden="0" w:name="footnote reference"/>
    <w:lsdException w:qFormat="1" w:unhideWhenUsed="0" w:uiPriority="0" w:name="annotation reference"/>
    <w:lsdException w:qFormat="1" w:unhideWhenUsed="0" w:uiPriority="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name="List"/>
    <w:lsdException w:qFormat="1" w:unhideWhenUsed="0" w:uiPriority="0" w:name="List Bullet"/>
    <w:lsdException w:qFormat="1" w:unhideWhenUsed="0" w:uiPriority="0" w:name="List Number"/>
    <w:lsdException w:qFormat="1" w:unhideWhenUsed="0" w:uiPriority="0" w:name="List 2"/>
    <w:lsdException w:qFormat="1" w:unhideWhenUsed="0" w:uiPriority="0" w:name="List 3"/>
    <w:lsdException w:qFormat="1" w:unhideWhenUsed="0" w:uiPriority="0" w:name="List 4"/>
    <w:lsdException w:qFormat="1" w:unhideWhenUsed="0"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name="Default Paragraph Font"/>
    <w:lsdException w:qFormat="1" w:unhideWhenUsed="0" w:uiPriority="0" w:name="Body Text"/>
    <w:lsdException w:qFormat="1" w:unhideWhenUsed="0" w:uiPriority="0" w:name="Body Text Indent"/>
    <w:lsdException w:qFormat="1" w:unhideWhenUsed="0" w:uiPriority="0" w:name="List Continue"/>
    <w:lsdException w:qFormat="1" w:unhideWhenUsed="0" w:uiPriority="0" w:name="List Continue 2"/>
    <w:lsdException w:qFormat="1" w:unhideWhenUsed="0" w:uiPriority="0" w:name="List Continue 3"/>
    <w:lsdException w:qFormat="1" w:unhideWhenUsed="0" w:uiPriority="0" w:name="List Continue 4"/>
    <w:lsdException w:qFormat="1" w:unhideWhenUsed="0"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name="Body Text Indent 2"/>
    <w:lsdException w:qFormat="1" w:unhideWhenUsed="0" w:uiPriority="0" w:name="Body Text Indent 3"/>
    <w:lsdException w:qFormat="1" w:unhideWhenUsed="0" w:uiPriority="0" w:name="Block Text"/>
    <w:lsdException w:qFormat="1" w:unhideWhenUsed="0" w:uiPriority="99" w:semiHidden="0" w:name="Hyperlink"/>
    <w:lsdException w:qFormat="1" w:unhideWhenUsed="0"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name="Plain Text"/>
    <w:lsdException w:qFormat="1" w:unhideWhenUsed="0" w:uiPriority="0" w:name="E-mail Signature"/>
    <w:lsdException w:qFormat="1" w:unhideWhenUsed="0" w:uiPriority="99" w:name="Normal (Web)"/>
    <w:lsdException w:qFormat="1" w:unhideWhenUsed="0" w:uiPriority="0" w:name="HTML Acronym"/>
    <w:lsdException w:qFormat="1" w:unhideWhenUsed="0" w:uiPriority="0" w:name="HTML Address"/>
    <w:lsdException w:qFormat="1" w:unhideWhenUsed="0" w:uiPriority="0" w:name="HTML Cite"/>
    <w:lsdException w:qFormat="1" w:unhideWhenUsed="0" w:uiPriority="0" w:name="HTML Code"/>
    <w:lsdException w:qFormat="1" w:unhideWhenUsed="0" w:uiPriority="0" w:name="HTML Definition"/>
    <w:lsdException w:qFormat="1" w:unhideWhenUsed="0" w:uiPriority="0" w:name="HTML Keyboard"/>
    <w:lsdException w:qFormat="1" w:unhideWhenUsed="0" w:uiPriority="0" w:name="HTML Preformatted"/>
    <w:lsdException w:qFormat="1" w:unhideWhenUsed="0" w:uiPriority="0" w:name="HTML Sample"/>
    <w:lsdException w:qFormat="1" w:unhideWhenUsed="0" w:uiPriority="0" w:name="HTML Typewriter"/>
    <w:lsdException w:qFormat="1" w:unhideWhenUsed="0" w:uiPriority="0" w:name="HTML Variable"/>
    <w:lsdException w:qFormat="1" w:uiPriority="99" w:name="Normal Table"/>
    <w:lsdException w:qFormat="1" w:unhideWhenUsed="0" w:uiPriority="0" w:name="annotation subject"/>
    <w:lsdException w:qFormat="1" w:unhideWhenUsed="0" w:uiPriority="0" w:name="Table Simple 1"/>
    <w:lsdException w:qFormat="1" w:unhideWhenUsed="0" w:uiPriority="0" w:name="Table Simple 2"/>
    <w:lsdException w:qFormat="1" w:unhideWhenUsed="0" w:uiPriority="0" w:name="Table Simple 3"/>
    <w:lsdException w:qFormat="1" w:unhideWhenUsed="0" w:uiPriority="0" w:name="Table Classic 1"/>
    <w:lsdException w:qFormat="1" w:unhideWhenUsed="0" w:uiPriority="0" w:name="Table Classic 2"/>
    <w:lsdException w:qFormat="1" w:unhideWhenUsed="0" w:uiPriority="0" w:name="Table Classic 3"/>
    <w:lsdException w:qFormat="1" w:unhideWhenUsed="0" w:uiPriority="0" w:name="Table Classic 4"/>
    <w:lsdException w:qFormat="1" w:unhideWhenUsed="0" w:uiPriority="0" w:name="Table Colorful 1"/>
    <w:lsdException w:qFormat="1" w:unhideWhenUsed="0" w:uiPriority="0" w:name="Table Colorful 2"/>
    <w:lsdException w:qFormat="1" w:unhideWhenUsed="0" w:uiPriority="0" w:name="Table Colorful 3"/>
    <w:lsdException w:qFormat="1" w:unhideWhenUsed="0" w:uiPriority="0" w:name="Table Columns 1"/>
    <w:lsdException w:qFormat="1" w:unhideWhenUsed="0" w:uiPriority="0" w:name="Table Columns 2"/>
    <w:lsdException w:qFormat="1" w:unhideWhenUsed="0" w:uiPriority="0" w:name="Table Columns 3"/>
    <w:lsdException w:qFormat="1" w:unhideWhenUsed="0" w:uiPriority="0" w:name="Table Columns 4"/>
    <w:lsdException w:qFormat="1" w:unhideWhenUsed="0" w:uiPriority="0" w:name="Table Columns 5"/>
    <w:lsdException w:qFormat="1" w:unhideWhenUsed="0" w:uiPriority="0" w:name="Table Grid 1"/>
    <w:lsdException w:qFormat="1" w:unhideWhenUsed="0" w:uiPriority="0" w:name="Table Grid 2"/>
    <w:lsdException w:qFormat="1" w:unhideWhenUsed="0" w:uiPriority="0" w:name="Table Grid 3"/>
    <w:lsdException w:qFormat="1" w:unhideWhenUsed="0" w:uiPriority="0" w:name="Table Grid 4"/>
    <w:lsdException w:qFormat="1" w:unhideWhenUsed="0" w:uiPriority="0" w:name="Table Grid 5"/>
    <w:lsdException w:qFormat="1" w:unhideWhenUsed="0" w:uiPriority="0" w:name="Table Grid 6"/>
    <w:lsdException w:qFormat="1" w:unhideWhenUsed="0" w:uiPriority="0" w:name="Table Grid 7"/>
    <w:lsdException w:qFormat="1" w:unhideWhenUsed="0" w:uiPriority="0" w:name="Table Grid 8"/>
    <w:lsdException w:qFormat="1" w:unhideWhenUsed="0" w:uiPriority="0" w:name="Table List 1"/>
    <w:lsdException w:qFormat="1" w:unhideWhenUsed="0" w:uiPriority="0" w:name="Table List 2"/>
    <w:lsdException w:qFormat="1" w:unhideWhenUsed="0" w:uiPriority="0" w:name="Table List 3"/>
    <w:lsdException w:qFormat="1" w:unhideWhenUsed="0" w:uiPriority="0" w:name="Table List 4"/>
    <w:lsdException w:qFormat="1" w:unhideWhenUsed="0" w:uiPriority="0" w:name="Table List 5"/>
    <w:lsdException w:qFormat="1" w:unhideWhenUsed="0" w:uiPriority="0" w:name="Table List 6"/>
    <w:lsdException w:qFormat="1" w:unhideWhenUsed="0" w:uiPriority="0" w:name="Table List 7"/>
    <w:lsdException w:qFormat="1" w:unhideWhenUsed="0" w:uiPriority="0" w:name="Table List 8"/>
    <w:lsdException w:qFormat="1" w:unhideWhenUsed="0" w:uiPriority="0" w:name="Table 3D effects 1"/>
    <w:lsdException w:qFormat="1" w:unhideWhenUsed="0" w:uiPriority="0" w:name="Table 3D effects 2"/>
    <w:lsdException w:qFormat="1" w:unhideWhenUsed="0" w:uiPriority="0" w:name="Table 3D effects 3"/>
    <w:lsdException w:qFormat="1" w:unhideWhenUsed="0" w:uiPriority="0" w:name="Table Contemporary"/>
    <w:lsdException w:qFormat="1" w:unhideWhenUsed="0" w:uiPriority="0" w:name="Table Elegant"/>
    <w:lsdException w:qFormat="1" w:unhideWhenUsed="0" w:uiPriority="0" w:name="Table Professional"/>
    <w:lsdException w:qFormat="1" w:unhideWhenUsed="0" w:uiPriority="0" w:name="Table Subtle 1"/>
    <w:lsdException w:qFormat="1" w:unhideWhenUsed="0" w:uiPriority="0" w:name="Table Subtle 2"/>
    <w:lsdException w:qFormat="1" w:unhideWhenUsed="0" w:uiPriority="0" w:name="Table Web 1"/>
    <w:lsdException w:qFormat="1" w:unhideWhenUsed="0" w:uiPriority="0" w:name="Table Web 2"/>
    <w:lsdException w:qFormat="1" w:unhideWhenUsed="0" w:uiPriority="0" w:name="Table Web 3"/>
    <w:lsdException w:qFormat="1" w:unhideWhenUsed="0" w:uiPriority="0" w:name="Balloon Text"/>
    <w:lsdException w:qFormat="1" w:unhideWhenUsed="0" w:uiPriority="0" w:semiHidden="0" w:name="Table Grid"/>
    <w:lsdException w:qFormat="1" w:unhideWhenUsed="0"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3"/>
    <w:next w:val="1"/>
    <w:qFormat/>
    <w:uiPriority w:val="0"/>
    <w:pPr>
      <w:ind w:right="-334" w:firstLine="70" w:firstLineChars="25"/>
      <w:jc w:val="center"/>
      <w:outlineLvl w:val="1"/>
    </w:pPr>
    <w:rPr>
      <w:rFonts w:ascii="宋体" w:hAnsi="宋体"/>
      <w:color w:val="000000"/>
      <w:sz w:val="28"/>
    </w:rPr>
  </w:style>
  <w:style w:type="paragraph" w:styleId="5">
    <w:name w:val="heading 3"/>
    <w:basedOn w:val="1"/>
    <w:next w:val="1"/>
    <w:qFormat/>
    <w:uiPriority w:val="0"/>
    <w:pPr>
      <w:keepNext/>
      <w:widowControl/>
      <w:numPr>
        <w:ilvl w:val="0"/>
        <w:numId w:val="1"/>
      </w:numPr>
      <w:spacing w:beforeLines="50" w:afterLines="50"/>
      <w:jc w:val="center"/>
      <w:outlineLvl w:val="2"/>
    </w:pPr>
    <w:rPr>
      <w:rFonts w:ascii="仿宋_GB2312" w:hAnsi="宋体"/>
      <w:b/>
      <w:kern w:val="0"/>
      <w:sz w:val="28"/>
      <w:szCs w:val="20"/>
    </w:rPr>
  </w:style>
  <w:style w:type="paragraph" w:styleId="6">
    <w:name w:val="heading 4"/>
    <w:basedOn w:val="1"/>
    <w:next w:val="1"/>
    <w:qFormat/>
    <w:uiPriority w:val="0"/>
    <w:pPr>
      <w:keepNext/>
      <w:keepLines/>
      <w:spacing w:before="280" w:after="290"/>
      <w:jc w:val="left"/>
      <w:outlineLvl w:val="3"/>
    </w:pPr>
    <w:rPr>
      <w:rFonts w:ascii="Arial" w:hAnsi="Arial" w:eastAsia="黑体"/>
      <w:b/>
      <w:bCs/>
      <w:sz w:val="24"/>
      <w:szCs w:val="28"/>
    </w:rPr>
  </w:style>
  <w:style w:type="paragraph" w:styleId="7">
    <w:name w:val="heading 5"/>
    <w:basedOn w:val="1"/>
    <w:next w:val="1"/>
    <w:qFormat/>
    <w:uiPriority w:val="0"/>
    <w:pPr>
      <w:keepNext/>
      <w:keepLines/>
      <w:spacing w:before="280" w:after="290" w:line="376" w:lineRule="auto"/>
      <w:outlineLvl w:val="4"/>
    </w:pPr>
    <w:rPr>
      <w:b/>
      <w:bCs/>
      <w:sz w:val="28"/>
      <w:szCs w:val="28"/>
    </w:rPr>
  </w:style>
  <w:style w:type="paragraph" w:styleId="8">
    <w:name w:val="heading 6"/>
    <w:basedOn w:val="1"/>
    <w:next w:val="1"/>
    <w:qFormat/>
    <w:uiPriority w:val="0"/>
    <w:pPr>
      <w:spacing w:beforeLines="50" w:afterLines="50" w:line="360" w:lineRule="auto"/>
      <w:ind w:left="3119" w:hanging="3119"/>
      <w:outlineLvl w:val="5"/>
    </w:pPr>
    <w:rPr>
      <w:rFonts w:ascii="宋体" w:hAnsi="宋体"/>
      <w:bCs/>
      <w:sz w:val="24"/>
    </w:rPr>
  </w:style>
  <w:style w:type="paragraph" w:styleId="9">
    <w:name w:val="heading 7"/>
    <w:basedOn w:val="1"/>
    <w:next w:val="1"/>
    <w:qFormat/>
    <w:uiPriority w:val="0"/>
    <w:pPr>
      <w:keepNext/>
      <w:keepLines/>
      <w:spacing w:before="120" w:after="120" w:line="360" w:lineRule="auto"/>
      <w:ind w:left="3686" w:hanging="3686"/>
      <w:outlineLvl w:val="6"/>
    </w:pPr>
    <w:rPr>
      <w:rFonts w:ascii="宋体"/>
      <w:bCs/>
      <w:sz w:val="24"/>
    </w:rPr>
  </w:style>
  <w:style w:type="paragraph" w:styleId="10">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122">
    <w:name w:val="Default Paragraph Font"/>
    <w:semiHidden/>
    <w:unhideWhenUsed/>
    <w:qFormat/>
    <w:uiPriority w:val="1"/>
  </w:style>
  <w:style w:type="table" w:default="1" w:styleId="7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39"/>
    <w:semiHidden/>
    <w:qFormat/>
    <w:uiPriority w:val="0"/>
    <w:pPr>
      <w:jc w:val="left"/>
    </w:pPr>
    <w:rPr>
      <w:rFonts w:ascii="Arial" w:hAnsi="Arial" w:eastAsia="黑体"/>
      <w:b/>
      <w:sz w:val="32"/>
      <w:szCs w:val="20"/>
    </w:rPr>
  </w:style>
  <w:style w:type="paragraph" w:styleId="12">
    <w:name w:val="List 3"/>
    <w:basedOn w:val="1"/>
    <w:semiHidden/>
    <w:qFormat/>
    <w:uiPriority w:val="0"/>
    <w:pPr>
      <w:ind w:left="100" w:leftChars="400" w:hanging="200" w:hangingChars="200"/>
    </w:pPr>
  </w:style>
  <w:style w:type="paragraph" w:styleId="13">
    <w:name w:val="toc 7"/>
    <w:basedOn w:val="1"/>
    <w:next w:val="1"/>
    <w:semiHidden/>
    <w:qFormat/>
    <w:uiPriority w:val="0"/>
    <w:pPr>
      <w:ind w:left="1260"/>
      <w:jc w:val="left"/>
    </w:pPr>
    <w:rPr>
      <w:sz w:val="18"/>
      <w:szCs w:val="18"/>
    </w:rPr>
  </w:style>
  <w:style w:type="paragraph" w:styleId="14">
    <w:name w:val="List Number 2"/>
    <w:basedOn w:val="1"/>
    <w:semiHidden/>
    <w:qFormat/>
    <w:uiPriority w:val="0"/>
    <w:pPr>
      <w:numPr>
        <w:ilvl w:val="0"/>
        <w:numId w:val="2"/>
      </w:numPr>
    </w:pPr>
  </w:style>
  <w:style w:type="paragraph" w:styleId="15">
    <w:name w:val="Note Heading"/>
    <w:basedOn w:val="1"/>
    <w:next w:val="1"/>
    <w:semiHidden/>
    <w:qFormat/>
    <w:uiPriority w:val="0"/>
    <w:pPr>
      <w:jc w:val="center"/>
    </w:pPr>
  </w:style>
  <w:style w:type="paragraph" w:styleId="16">
    <w:name w:val="List Bullet 4"/>
    <w:basedOn w:val="1"/>
    <w:semiHidden/>
    <w:qFormat/>
    <w:uiPriority w:val="0"/>
    <w:pPr>
      <w:numPr>
        <w:ilvl w:val="0"/>
        <w:numId w:val="3"/>
      </w:numPr>
    </w:pPr>
  </w:style>
  <w:style w:type="paragraph" w:styleId="17">
    <w:name w:val="E-mail Signature"/>
    <w:basedOn w:val="1"/>
    <w:semiHidden/>
    <w:qFormat/>
    <w:uiPriority w:val="0"/>
  </w:style>
  <w:style w:type="paragraph" w:styleId="18">
    <w:name w:val="List Number"/>
    <w:basedOn w:val="1"/>
    <w:semiHidden/>
    <w:qFormat/>
    <w:uiPriority w:val="0"/>
    <w:pPr>
      <w:numPr>
        <w:ilvl w:val="0"/>
        <w:numId w:val="4"/>
      </w:numPr>
    </w:pPr>
  </w:style>
  <w:style w:type="paragraph" w:styleId="19">
    <w:name w:val="Normal Indent"/>
    <w:basedOn w:val="1"/>
    <w:link w:val="138"/>
    <w:semiHidden/>
    <w:qFormat/>
    <w:uiPriority w:val="0"/>
    <w:pPr>
      <w:ind w:firstLine="420"/>
    </w:pPr>
    <w:rPr>
      <w:szCs w:val="20"/>
    </w:rPr>
  </w:style>
  <w:style w:type="paragraph" w:styleId="20">
    <w:name w:val="caption"/>
    <w:basedOn w:val="1"/>
    <w:next w:val="1"/>
    <w:qFormat/>
    <w:uiPriority w:val="0"/>
    <w:rPr>
      <w:rFonts w:ascii="Arial" w:hAnsi="Arial" w:eastAsia="黑体" w:cs="Arial"/>
      <w:sz w:val="20"/>
      <w:szCs w:val="20"/>
    </w:rPr>
  </w:style>
  <w:style w:type="paragraph" w:styleId="21">
    <w:name w:val="List Bullet"/>
    <w:basedOn w:val="1"/>
    <w:semiHidden/>
    <w:qFormat/>
    <w:uiPriority w:val="0"/>
    <w:pPr>
      <w:numPr>
        <w:ilvl w:val="0"/>
        <w:numId w:val="5"/>
      </w:numPr>
    </w:pPr>
  </w:style>
  <w:style w:type="paragraph" w:styleId="22">
    <w:name w:val="envelope address"/>
    <w:basedOn w:val="1"/>
    <w:semiHidden/>
    <w:qFormat/>
    <w:uiPriority w:val="0"/>
    <w:pPr>
      <w:framePr w:w="7920" w:h="1980" w:hRule="exact" w:hSpace="180" w:wrap="around" w:vAnchor="margin" w:hAnchor="page" w:xAlign="center" w:yAlign="bottom"/>
      <w:snapToGrid w:val="0"/>
      <w:ind w:left="100" w:leftChars="1400"/>
    </w:pPr>
    <w:rPr>
      <w:rFonts w:ascii="Arial" w:hAnsi="Arial" w:cs="Arial"/>
      <w:sz w:val="24"/>
    </w:rPr>
  </w:style>
  <w:style w:type="paragraph" w:styleId="23">
    <w:name w:val="Document Map"/>
    <w:basedOn w:val="24"/>
    <w:semiHidden/>
    <w:qFormat/>
    <w:uiPriority w:val="0"/>
    <w:pPr>
      <w:shd w:val="clear" w:color="auto" w:fill="000080"/>
    </w:pPr>
    <w:rPr>
      <w:b w:val="0"/>
    </w:rPr>
  </w:style>
  <w:style w:type="paragraph" w:customStyle="1" w:styleId="24">
    <w:name w:val="样式1"/>
    <w:basedOn w:val="6"/>
    <w:semiHidden/>
    <w:qFormat/>
    <w:uiPriority w:val="0"/>
    <w:pPr>
      <w:spacing w:line="300" w:lineRule="exact"/>
    </w:pPr>
    <w:rPr>
      <w:rFonts w:ascii="Times New Roman" w:hAnsi="Times New Roman" w:eastAsia="宋体"/>
    </w:rPr>
  </w:style>
  <w:style w:type="paragraph" w:styleId="25">
    <w:name w:val="annotation text"/>
    <w:basedOn w:val="1"/>
    <w:semiHidden/>
    <w:qFormat/>
    <w:uiPriority w:val="0"/>
    <w:pPr>
      <w:jc w:val="left"/>
    </w:pPr>
  </w:style>
  <w:style w:type="paragraph" w:styleId="26">
    <w:name w:val="Salutation"/>
    <w:basedOn w:val="1"/>
    <w:next w:val="1"/>
    <w:semiHidden/>
    <w:qFormat/>
    <w:uiPriority w:val="0"/>
  </w:style>
  <w:style w:type="paragraph" w:styleId="27">
    <w:name w:val="Body Text 3"/>
    <w:basedOn w:val="1"/>
    <w:semiHidden/>
    <w:qFormat/>
    <w:uiPriority w:val="0"/>
    <w:pPr>
      <w:spacing w:line="500" w:lineRule="exact"/>
    </w:pPr>
    <w:rPr>
      <w:rFonts w:eastAsia="仿宋_GB2312"/>
      <w:b/>
      <w:bCs/>
      <w:sz w:val="28"/>
      <w:szCs w:val="20"/>
    </w:rPr>
  </w:style>
  <w:style w:type="paragraph" w:styleId="28">
    <w:name w:val="Closing"/>
    <w:basedOn w:val="1"/>
    <w:semiHidden/>
    <w:qFormat/>
    <w:uiPriority w:val="0"/>
    <w:pPr>
      <w:ind w:left="100" w:leftChars="2100"/>
    </w:pPr>
  </w:style>
  <w:style w:type="paragraph" w:styleId="29">
    <w:name w:val="List Bullet 3"/>
    <w:basedOn w:val="1"/>
    <w:semiHidden/>
    <w:qFormat/>
    <w:uiPriority w:val="0"/>
    <w:pPr>
      <w:numPr>
        <w:ilvl w:val="0"/>
        <w:numId w:val="6"/>
      </w:numPr>
    </w:pPr>
  </w:style>
  <w:style w:type="paragraph" w:styleId="30">
    <w:name w:val="Body Text Indent"/>
    <w:basedOn w:val="31"/>
    <w:next w:val="32"/>
    <w:semiHidden/>
    <w:qFormat/>
    <w:uiPriority w:val="0"/>
    <w:pPr>
      <w:ind w:firstLine="645"/>
    </w:pPr>
    <w:rPr>
      <w:rFonts w:ascii="Arial" w:hAnsi="Arial" w:eastAsia="仿宋_GB2312"/>
      <w:sz w:val="28"/>
      <w:szCs w:val="20"/>
    </w:rPr>
  </w:style>
  <w:style w:type="paragraph" w:customStyle="1" w:styleId="31">
    <w:name w:val="正文1"/>
    <w:qFormat/>
    <w:uiPriority w:val="0"/>
    <w:pPr>
      <w:widowControl w:val="0"/>
      <w:spacing w:line="360" w:lineRule="auto"/>
      <w:jc w:val="both"/>
    </w:pPr>
    <w:rPr>
      <w:rFonts w:ascii="宋体" w:hAnsi="宋体" w:eastAsia="宋体" w:cs="宋体"/>
      <w:sz w:val="21"/>
      <w:szCs w:val="21"/>
      <w:lang w:val="en-US" w:eastAsia="zh-CN" w:bidi="ar-SA"/>
    </w:rPr>
  </w:style>
  <w:style w:type="paragraph" w:styleId="32">
    <w:name w:val="envelope return"/>
    <w:basedOn w:val="1"/>
    <w:semiHidden/>
    <w:qFormat/>
    <w:uiPriority w:val="0"/>
    <w:pPr>
      <w:snapToGrid w:val="0"/>
    </w:pPr>
    <w:rPr>
      <w:rFonts w:ascii="Arial" w:hAnsi="Arial" w:cs="Arial"/>
    </w:rPr>
  </w:style>
  <w:style w:type="paragraph" w:styleId="33">
    <w:name w:val="List Number 3"/>
    <w:basedOn w:val="1"/>
    <w:semiHidden/>
    <w:qFormat/>
    <w:uiPriority w:val="0"/>
    <w:pPr>
      <w:numPr>
        <w:ilvl w:val="0"/>
        <w:numId w:val="7"/>
      </w:numPr>
    </w:pPr>
  </w:style>
  <w:style w:type="paragraph" w:styleId="34">
    <w:name w:val="List 2"/>
    <w:basedOn w:val="1"/>
    <w:semiHidden/>
    <w:qFormat/>
    <w:uiPriority w:val="0"/>
    <w:pPr>
      <w:ind w:left="100" w:leftChars="200" w:hanging="200" w:hangingChars="200"/>
    </w:pPr>
  </w:style>
  <w:style w:type="paragraph" w:styleId="35">
    <w:name w:val="List Continue"/>
    <w:basedOn w:val="1"/>
    <w:semiHidden/>
    <w:qFormat/>
    <w:uiPriority w:val="0"/>
    <w:pPr>
      <w:spacing w:after="120"/>
      <w:ind w:left="420" w:leftChars="200"/>
    </w:pPr>
  </w:style>
  <w:style w:type="paragraph" w:styleId="36">
    <w:name w:val="Block Text"/>
    <w:basedOn w:val="1"/>
    <w:semiHidden/>
    <w:qFormat/>
    <w:uiPriority w:val="0"/>
    <w:pPr>
      <w:spacing w:after="120"/>
      <w:ind w:left="1440" w:leftChars="700" w:right="1440" w:rightChars="700"/>
    </w:pPr>
  </w:style>
  <w:style w:type="paragraph" w:styleId="37">
    <w:name w:val="List Bullet 2"/>
    <w:basedOn w:val="1"/>
    <w:semiHidden/>
    <w:qFormat/>
    <w:uiPriority w:val="0"/>
    <w:pPr>
      <w:numPr>
        <w:ilvl w:val="0"/>
        <w:numId w:val="8"/>
      </w:numPr>
    </w:pPr>
  </w:style>
  <w:style w:type="paragraph" w:styleId="38">
    <w:name w:val="HTML Address"/>
    <w:basedOn w:val="1"/>
    <w:semiHidden/>
    <w:qFormat/>
    <w:uiPriority w:val="0"/>
    <w:rPr>
      <w:i/>
      <w:iCs/>
    </w:rPr>
  </w:style>
  <w:style w:type="paragraph" w:styleId="39">
    <w:name w:val="toc 5"/>
    <w:basedOn w:val="1"/>
    <w:next w:val="1"/>
    <w:semiHidden/>
    <w:qFormat/>
    <w:uiPriority w:val="0"/>
    <w:pPr>
      <w:ind w:left="840"/>
      <w:jc w:val="left"/>
    </w:pPr>
    <w:rPr>
      <w:sz w:val="18"/>
      <w:szCs w:val="18"/>
    </w:rPr>
  </w:style>
  <w:style w:type="paragraph" w:styleId="40">
    <w:name w:val="toc 3"/>
    <w:basedOn w:val="1"/>
    <w:next w:val="1"/>
    <w:qFormat/>
    <w:uiPriority w:val="39"/>
    <w:pPr>
      <w:ind w:left="420"/>
      <w:jc w:val="left"/>
    </w:pPr>
    <w:rPr>
      <w:i/>
      <w:iCs/>
      <w:sz w:val="20"/>
      <w:szCs w:val="20"/>
    </w:rPr>
  </w:style>
  <w:style w:type="paragraph" w:styleId="41">
    <w:name w:val="Plain Text"/>
    <w:basedOn w:val="1"/>
    <w:link w:val="140"/>
    <w:semiHidden/>
    <w:qFormat/>
    <w:uiPriority w:val="0"/>
    <w:rPr>
      <w:rFonts w:ascii="宋体" w:hAnsi="Courier New"/>
      <w:szCs w:val="20"/>
    </w:rPr>
  </w:style>
  <w:style w:type="paragraph" w:styleId="42">
    <w:name w:val="List Bullet 5"/>
    <w:basedOn w:val="1"/>
    <w:semiHidden/>
    <w:qFormat/>
    <w:uiPriority w:val="0"/>
    <w:pPr>
      <w:numPr>
        <w:ilvl w:val="0"/>
        <w:numId w:val="9"/>
      </w:numPr>
    </w:pPr>
  </w:style>
  <w:style w:type="paragraph" w:styleId="43">
    <w:name w:val="List Number 4"/>
    <w:basedOn w:val="1"/>
    <w:semiHidden/>
    <w:qFormat/>
    <w:uiPriority w:val="0"/>
    <w:pPr>
      <w:numPr>
        <w:ilvl w:val="0"/>
        <w:numId w:val="10"/>
      </w:numPr>
    </w:pPr>
  </w:style>
  <w:style w:type="paragraph" w:styleId="44">
    <w:name w:val="toc 8"/>
    <w:basedOn w:val="1"/>
    <w:next w:val="1"/>
    <w:semiHidden/>
    <w:qFormat/>
    <w:uiPriority w:val="0"/>
    <w:pPr>
      <w:ind w:left="1470"/>
      <w:jc w:val="left"/>
    </w:pPr>
    <w:rPr>
      <w:sz w:val="18"/>
      <w:szCs w:val="18"/>
    </w:rPr>
  </w:style>
  <w:style w:type="paragraph" w:styleId="45">
    <w:name w:val="Date"/>
    <w:basedOn w:val="1"/>
    <w:next w:val="1"/>
    <w:link w:val="141"/>
    <w:semiHidden/>
    <w:qFormat/>
    <w:uiPriority w:val="0"/>
    <w:pPr>
      <w:ind w:left="100" w:leftChars="2500"/>
    </w:pPr>
  </w:style>
  <w:style w:type="paragraph" w:styleId="46">
    <w:name w:val="Body Text Indent 2"/>
    <w:basedOn w:val="1"/>
    <w:semiHidden/>
    <w:qFormat/>
    <w:uiPriority w:val="0"/>
    <w:pPr>
      <w:ind w:firstLine="570"/>
    </w:pPr>
    <w:rPr>
      <w:rFonts w:ascii="Arial" w:hAnsi="Arial" w:eastAsia="仿宋_GB2312"/>
      <w:b/>
      <w:sz w:val="28"/>
      <w:szCs w:val="20"/>
    </w:rPr>
  </w:style>
  <w:style w:type="paragraph" w:styleId="47">
    <w:name w:val="List Continue 5"/>
    <w:basedOn w:val="1"/>
    <w:semiHidden/>
    <w:qFormat/>
    <w:uiPriority w:val="0"/>
    <w:pPr>
      <w:spacing w:after="120"/>
      <w:ind w:left="2100" w:leftChars="1000"/>
    </w:pPr>
  </w:style>
  <w:style w:type="paragraph" w:styleId="48">
    <w:name w:val="Balloon Text"/>
    <w:basedOn w:val="1"/>
    <w:semiHidden/>
    <w:qFormat/>
    <w:uiPriority w:val="0"/>
    <w:rPr>
      <w:sz w:val="18"/>
      <w:szCs w:val="18"/>
    </w:rPr>
  </w:style>
  <w:style w:type="paragraph" w:styleId="49">
    <w:name w:val="footer"/>
    <w:basedOn w:val="1"/>
    <w:semiHidden/>
    <w:qFormat/>
    <w:uiPriority w:val="0"/>
    <w:pPr>
      <w:tabs>
        <w:tab w:val="center" w:pos="4153"/>
        <w:tab w:val="right" w:pos="8306"/>
      </w:tabs>
      <w:snapToGrid w:val="0"/>
      <w:jc w:val="left"/>
    </w:pPr>
    <w:rPr>
      <w:sz w:val="18"/>
      <w:szCs w:val="20"/>
      <w:lang w:bidi="he-IL"/>
    </w:rPr>
  </w:style>
  <w:style w:type="paragraph" w:styleId="50">
    <w:name w:val="header"/>
    <w:basedOn w:val="1"/>
    <w:semiHidden/>
    <w:qFormat/>
    <w:uiPriority w:val="0"/>
    <w:pPr>
      <w:pBdr>
        <w:bottom w:val="single" w:color="auto" w:sz="6" w:space="1"/>
      </w:pBdr>
      <w:tabs>
        <w:tab w:val="center" w:pos="4153"/>
        <w:tab w:val="right" w:pos="8306"/>
      </w:tabs>
      <w:snapToGrid w:val="0"/>
      <w:jc w:val="center"/>
    </w:pPr>
    <w:rPr>
      <w:sz w:val="18"/>
      <w:szCs w:val="18"/>
    </w:rPr>
  </w:style>
  <w:style w:type="paragraph" w:styleId="51">
    <w:name w:val="Signature"/>
    <w:basedOn w:val="1"/>
    <w:semiHidden/>
    <w:qFormat/>
    <w:uiPriority w:val="0"/>
    <w:pPr>
      <w:ind w:left="100" w:leftChars="2100"/>
    </w:pPr>
  </w:style>
  <w:style w:type="paragraph" w:styleId="52">
    <w:name w:val="toc 1"/>
    <w:basedOn w:val="53"/>
    <w:next w:val="1"/>
    <w:qFormat/>
    <w:uiPriority w:val="39"/>
    <w:pPr>
      <w:spacing w:before="120" w:after="120" w:line="240" w:lineRule="auto"/>
      <w:ind w:firstLine="0" w:firstLineChars="0"/>
      <w:jc w:val="left"/>
    </w:pPr>
    <w:rPr>
      <w:rFonts w:ascii="Times New Roman" w:hAnsi="Times New Roman" w:cs="Times New Roman"/>
      <w:bCs/>
      <w:caps/>
      <w:sz w:val="20"/>
    </w:rPr>
  </w:style>
  <w:style w:type="paragraph" w:styleId="53">
    <w:name w:val="index 1"/>
    <w:basedOn w:val="1"/>
    <w:next w:val="1"/>
    <w:semiHidden/>
    <w:qFormat/>
    <w:uiPriority w:val="0"/>
    <w:pPr>
      <w:spacing w:line="310" w:lineRule="exact"/>
      <w:ind w:firstLine="72" w:firstLineChars="30"/>
    </w:pPr>
    <w:rPr>
      <w:rFonts w:ascii="Arial" w:hAnsi="Arial" w:cs="Arial"/>
      <w:b/>
      <w:sz w:val="24"/>
      <w:szCs w:val="20"/>
    </w:rPr>
  </w:style>
  <w:style w:type="paragraph" w:styleId="54">
    <w:name w:val="List Continue 4"/>
    <w:basedOn w:val="1"/>
    <w:semiHidden/>
    <w:qFormat/>
    <w:uiPriority w:val="0"/>
    <w:pPr>
      <w:spacing w:after="120"/>
      <w:ind w:left="1680" w:leftChars="800"/>
    </w:pPr>
  </w:style>
  <w:style w:type="paragraph" w:styleId="55">
    <w:name w:val="toc 4"/>
    <w:basedOn w:val="1"/>
    <w:next w:val="1"/>
    <w:qFormat/>
    <w:uiPriority w:val="39"/>
    <w:pPr>
      <w:tabs>
        <w:tab w:val="right" w:leader="dot" w:pos="8302"/>
      </w:tabs>
      <w:spacing w:line="360" w:lineRule="exact"/>
      <w:ind w:left="629"/>
      <w:jc w:val="left"/>
    </w:pPr>
    <w:rPr>
      <w:sz w:val="18"/>
      <w:szCs w:val="18"/>
    </w:rPr>
  </w:style>
  <w:style w:type="paragraph" w:styleId="56">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57">
    <w:name w:val="List Number 5"/>
    <w:basedOn w:val="1"/>
    <w:semiHidden/>
    <w:qFormat/>
    <w:uiPriority w:val="0"/>
    <w:pPr>
      <w:numPr>
        <w:ilvl w:val="0"/>
        <w:numId w:val="11"/>
      </w:numPr>
    </w:pPr>
  </w:style>
  <w:style w:type="paragraph" w:styleId="58">
    <w:name w:val="List"/>
    <w:basedOn w:val="1"/>
    <w:semiHidden/>
    <w:qFormat/>
    <w:uiPriority w:val="0"/>
    <w:pPr>
      <w:ind w:left="200" w:hanging="200" w:hangingChars="200"/>
    </w:pPr>
  </w:style>
  <w:style w:type="paragraph" w:styleId="59">
    <w:name w:val="toc 6"/>
    <w:basedOn w:val="1"/>
    <w:next w:val="1"/>
    <w:semiHidden/>
    <w:qFormat/>
    <w:uiPriority w:val="0"/>
    <w:pPr>
      <w:ind w:left="1050"/>
      <w:jc w:val="left"/>
    </w:pPr>
    <w:rPr>
      <w:sz w:val="18"/>
      <w:szCs w:val="18"/>
    </w:rPr>
  </w:style>
  <w:style w:type="paragraph" w:styleId="60">
    <w:name w:val="List 5"/>
    <w:basedOn w:val="1"/>
    <w:semiHidden/>
    <w:qFormat/>
    <w:uiPriority w:val="0"/>
    <w:pPr>
      <w:ind w:left="100" w:leftChars="800" w:hanging="200" w:hangingChars="200"/>
    </w:pPr>
  </w:style>
  <w:style w:type="paragraph" w:styleId="61">
    <w:name w:val="Body Text Indent 3"/>
    <w:basedOn w:val="1"/>
    <w:semiHidden/>
    <w:qFormat/>
    <w:uiPriority w:val="0"/>
    <w:pPr>
      <w:ind w:left="2" w:firstLine="628" w:firstLineChars="196"/>
    </w:pPr>
    <w:rPr>
      <w:rFonts w:ascii="Arial" w:hAnsi="Arial" w:eastAsia="仿宋_GB2312"/>
      <w:b/>
      <w:sz w:val="32"/>
      <w:szCs w:val="20"/>
      <w:lang w:bidi="he-IL"/>
    </w:rPr>
  </w:style>
  <w:style w:type="paragraph" w:styleId="62">
    <w:name w:val="table of figures"/>
    <w:basedOn w:val="1"/>
    <w:next w:val="1"/>
    <w:semiHidden/>
    <w:qFormat/>
    <w:uiPriority w:val="0"/>
    <w:pPr>
      <w:ind w:left="200" w:leftChars="200" w:hanging="200" w:hangingChars="200"/>
    </w:pPr>
  </w:style>
  <w:style w:type="paragraph" w:styleId="63">
    <w:name w:val="toc 2"/>
    <w:basedOn w:val="64"/>
    <w:next w:val="64"/>
    <w:qFormat/>
    <w:uiPriority w:val="39"/>
    <w:pPr>
      <w:ind w:left="210" w:leftChars="0"/>
      <w:jc w:val="left"/>
    </w:pPr>
    <w:rPr>
      <w:rFonts w:ascii="Times New Roman" w:eastAsia="宋体"/>
      <w:b w:val="0"/>
      <w:bCs w:val="0"/>
      <w:smallCaps/>
      <w:sz w:val="20"/>
    </w:rPr>
  </w:style>
  <w:style w:type="paragraph" w:styleId="64">
    <w:name w:val="index 2"/>
    <w:basedOn w:val="1"/>
    <w:next w:val="1"/>
    <w:semiHidden/>
    <w:qFormat/>
    <w:uiPriority w:val="0"/>
    <w:pPr>
      <w:ind w:left="420" w:leftChars="200"/>
    </w:pPr>
    <w:rPr>
      <w:rFonts w:ascii="仿宋_GB2312" w:eastAsia="仿宋_GB2312"/>
      <w:b/>
      <w:bCs/>
      <w:sz w:val="30"/>
      <w:szCs w:val="20"/>
    </w:rPr>
  </w:style>
  <w:style w:type="paragraph" w:styleId="65">
    <w:name w:val="toc 9"/>
    <w:basedOn w:val="1"/>
    <w:next w:val="1"/>
    <w:semiHidden/>
    <w:qFormat/>
    <w:uiPriority w:val="0"/>
    <w:pPr>
      <w:ind w:left="1680"/>
      <w:jc w:val="left"/>
    </w:pPr>
    <w:rPr>
      <w:sz w:val="18"/>
      <w:szCs w:val="18"/>
    </w:rPr>
  </w:style>
  <w:style w:type="paragraph" w:styleId="66">
    <w:name w:val="Body Text 2"/>
    <w:basedOn w:val="1"/>
    <w:semiHidden/>
    <w:qFormat/>
    <w:uiPriority w:val="0"/>
    <w:pPr>
      <w:spacing w:line="320" w:lineRule="exact"/>
    </w:pPr>
    <w:rPr>
      <w:rFonts w:ascii="楷体_GB2312" w:eastAsia="楷体_GB2312"/>
      <w:color w:val="000000"/>
      <w:sz w:val="24"/>
      <w:szCs w:val="20"/>
    </w:rPr>
  </w:style>
  <w:style w:type="paragraph" w:styleId="67">
    <w:name w:val="List 4"/>
    <w:basedOn w:val="1"/>
    <w:semiHidden/>
    <w:qFormat/>
    <w:uiPriority w:val="0"/>
    <w:pPr>
      <w:ind w:left="100" w:leftChars="600" w:hanging="200" w:hangingChars="200"/>
    </w:pPr>
  </w:style>
  <w:style w:type="paragraph" w:styleId="68">
    <w:name w:val="List Continue 2"/>
    <w:basedOn w:val="1"/>
    <w:semiHidden/>
    <w:qFormat/>
    <w:uiPriority w:val="0"/>
    <w:pPr>
      <w:spacing w:after="120"/>
      <w:ind w:left="840" w:leftChars="400"/>
    </w:pPr>
  </w:style>
  <w:style w:type="paragraph" w:styleId="69">
    <w:name w:val="Message Header"/>
    <w:basedOn w:val="1"/>
    <w:semiHidden/>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rPr>
  </w:style>
  <w:style w:type="paragraph" w:styleId="70">
    <w:name w:val="HTML Preformatted"/>
    <w:basedOn w:val="1"/>
    <w:semiHidden/>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75" w:lineRule="atLeast"/>
      <w:jc w:val="left"/>
    </w:pPr>
    <w:rPr>
      <w:rFonts w:ascii="Arial" w:hAnsi="Arial" w:cs="Arial"/>
      <w:kern w:val="0"/>
      <w:szCs w:val="21"/>
    </w:rPr>
  </w:style>
  <w:style w:type="paragraph" w:styleId="71">
    <w:name w:val="Normal (Web)"/>
    <w:basedOn w:val="1"/>
    <w:semiHidden/>
    <w:qFormat/>
    <w:uiPriority w:val="99"/>
    <w:pPr>
      <w:widowControl/>
      <w:spacing w:before="100" w:beforeAutospacing="1" w:after="100" w:afterAutospacing="1"/>
      <w:ind w:firstLine="480"/>
      <w:jc w:val="left"/>
    </w:pPr>
    <w:rPr>
      <w:rFonts w:ascii="宋体" w:hAnsi="宋体"/>
      <w:kern w:val="0"/>
      <w:sz w:val="24"/>
    </w:rPr>
  </w:style>
  <w:style w:type="paragraph" w:styleId="72">
    <w:name w:val="List Continue 3"/>
    <w:basedOn w:val="1"/>
    <w:semiHidden/>
    <w:qFormat/>
    <w:uiPriority w:val="0"/>
    <w:pPr>
      <w:spacing w:after="120"/>
      <w:ind w:left="1260" w:leftChars="600"/>
    </w:pPr>
  </w:style>
  <w:style w:type="paragraph" w:styleId="73">
    <w:name w:val="Title"/>
    <w:basedOn w:val="1"/>
    <w:qFormat/>
    <w:uiPriority w:val="0"/>
    <w:pPr>
      <w:spacing w:before="240" w:after="60"/>
      <w:jc w:val="center"/>
      <w:outlineLvl w:val="0"/>
    </w:pPr>
    <w:rPr>
      <w:rFonts w:ascii="Arial" w:hAnsi="Arial" w:cs="Arial"/>
      <w:b/>
      <w:bCs/>
      <w:sz w:val="32"/>
      <w:szCs w:val="32"/>
    </w:rPr>
  </w:style>
  <w:style w:type="paragraph" w:styleId="74">
    <w:name w:val="annotation subject"/>
    <w:basedOn w:val="25"/>
    <w:next w:val="25"/>
    <w:semiHidden/>
    <w:qFormat/>
    <w:uiPriority w:val="0"/>
    <w:rPr>
      <w:b/>
      <w:bCs/>
    </w:rPr>
  </w:style>
  <w:style w:type="paragraph" w:styleId="75">
    <w:name w:val="Body Text First Indent"/>
    <w:basedOn w:val="2"/>
    <w:next w:val="1"/>
    <w:semiHidden/>
    <w:qFormat/>
    <w:uiPriority w:val="0"/>
    <w:pPr>
      <w:spacing w:after="120"/>
      <w:ind w:firstLine="420" w:firstLineChars="100"/>
      <w:jc w:val="both"/>
    </w:pPr>
    <w:rPr>
      <w:rFonts w:ascii="Times New Roman" w:hAnsi="Times New Roman" w:eastAsia="宋体"/>
      <w:b w:val="0"/>
      <w:sz w:val="21"/>
      <w:szCs w:val="24"/>
    </w:rPr>
  </w:style>
  <w:style w:type="paragraph" w:styleId="76">
    <w:name w:val="Body Text First Indent 2"/>
    <w:basedOn w:val="30"/>
    <w:next w:val="1"/>
    <w:semiHidden/>
    <w:qFormat/>
    <w:uiPriority w:val="0"/>
    <w:pPr>
      <w:spacing w:after="120"/>
      <w:ind w:left="420" w:leftChars="200" w:firstLine="420" w:firstLineChars="200"/>
    </w:pPr>
    <w:rPr>
      <w:rFonts w:ascii="Times New Roman" w:hAnsi="Times New Roman" w:eastAsia="宋体"/>
      <w:sz w:val="21"/>
      <w:szCs w:val="24"/>
    </w:rPr>
  </w:style>
  <w:style w:type="table" w:styleId="78">
    <w:name w:val="Table Grid"/>
    <w:basedOn w:val="7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9">
    <w:name w:val="Table Theme"/>
    <w:basedOn w:val="77"/>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80">
    <w:name w:val="Table Colorful 1"/>
    <w:basedOn w:val="77"/>
    <w:semiHidden/>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81">
    <w:name w:val="Table Colorful 2"/>
    <w:basedOn w:val="77"/>
    <w:semiHidden/>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top w:val="nil"/>
          <w:left w:val="nil"/>
          <w:bottom w:val="single" w:color="000000" w:sz="12" w:space="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82">
    <w:name w:val="Table Colorful 3"/>
    <w:basedOn w:val="77"/>
    <w:semiHidden/>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top w:val="nil"/>
          <w:left w:val="nil"/>
          <w:bottom w:val="single" w:color="000000" w:sz="6" w:space="0"/>
          <w:right w:val="nil"/>
          <w:insideH w:val="nil"/>
          <w:insideV w:val="nil"/>
          <w:tl2br w:val="nil"/>
          <w:tr2bl w:val="nil"/>
        </w:tcBorders>
        <w:shd w:val="solid" w:color="008080" w:fill="FFFFFF"/>
      </w:tcPr>
    </w:tblStylePr>
    <w:tblStylePr w:type="firstCol">
      <w:tblPr/>
      <w:tcPr>
        <w:tcBorders>
          <w:top w:val="nil"/>
          <w:left w:val="single" w:color="000000" w:sz="36" w:space="0"/>
          <w:bottom w:val="nil"/>
          <w:right w:val="single" w:color="000000" w:sz="6" w:space="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83">
    <w:name w:val="Table Elegant"/>
    <w:basedOn w:val="77"/>
    <w:semiHidden/>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84">
    <w:name w:val="Table Classic 1"/>
    <w:basedOn w:val="77"/>
    <w:semiHidden/>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85">
    <w:name w:val="Table Classic 2"/>
    <w:basedOn w:val="77"/>
    <w:semiHidden/>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top w:val="nil"/>
          <w:left w:val="nil"/>
          <w:bottom w:val="single" w:color="000000" w:sz="6" w:space="0"/>
          <w:right w:val="nil"/>
          <w:insideH w:val="nil"/>
          <w:insideV w:val="nil"/>
          <w:tl2br w:val="nil"/>
          <w:tr2bl w:val="nil"/>
        </w:tcBorders>
        <w:shd w:val="solid" w:color="800080" w:fill="FFFFFF"/>
      </w:tcPr>
    </w:tblStylePr>
    <w:tblStylePr w:type="lastRow">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86">
    <w:name w:val="Table Classic 3"/>
    <w:basedOn w:val="77"/>
    <w:semiHidden/>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top w:val="nil"/>
          <w:left w:val="nil"/>
          <w:bottom w:val="single" w:color="000000" w:sz="6" w:space="0"/>
          <w:right w:val="nil"/>
          <w:insideH w:val="nil"/>
          <w:insideV w:val="nil"/>
          <w:tl2br w:val="nil"/>
          <w:tr2bl w:val="nil"/>
        </w:tcBorders>
        <w:shd w:val="solid" w:color="000080" w:fill="FFFFFF"/>
      </w:tcPr>
    </w:tblStylePr>
    <w:tblStylePr w:type="lastRow">
      <w:rPr>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87">
    <w:name w:val="Table Classic 4"/>
    <w:basedOn w:val="77"/>
    <w:semiHidden/>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top w:val="nil"/>
          <w:left w:val="nil"/>
          <w:bottom w:val="single" w:color="000000" w:sz="6" w:space="0"/>
          <w:right w:val="nil"/>
          <w:insideH w:val="nil"/>
          <w:insideV w:val="nil"/>
          <w:tl2br w:val="nil"/>
          <w:tr2bl w:val="nil"/>
        </w:tcBorders>
        <w:shd w:val="pct50" w:color="000080" w:fill="FFFFFF"/>
      </w:tcPr>
    </w:tblStylePr>
    <w:tblStylePr w:type="lastRow">
      <w:rPr>
        <w:color w:val="000080"/>
      </w:rPr>
      <w:tblPr/>
      <w:tcPr>
        <w:tcBorders>
          <w:top w:val="nil"/>
          <w:left w:val="nil"/>
          <w:bottom w:val="single" w:color="000000" w:sz="6" w:space="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88">
    <w:name w:val="Table Simple 1"/>
    <w:basedOn w:val="77"/>
    <w:semiHidden/>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89">
    <w:name w:val="Table Simple 2"/>
    <w:basedOn w:val="77"/>
    <w:semiHidden/>
    <w:qFormat/>
    <w:uiPriority w:val="0"/>
    <w:pPr>
      <w:widowControl w:val="0"/>
      <w:jc w:val="both"/>
    </w:pPr>
    <w:tblPr/>
    <w:tblStylePr w:type="firstRow">
      <w:rPr>
        <w:b/>
        <w:bCs/>
      </w:rPr>
      <w:tblPr/>
      <w:tcPr>
        <w:tcBorders>
          <w:top w:val="nil"/>
          <w:left w:val="nil"/>
          <w:bottom w:val="single" w:color="000000" w:sz="12" w:space="0"/>
          <w:right w:val="nil"/>
          <w:insideH w:val="nil"/>
          <w:insideV w:val="nil"/>
          <w:tl2br w:val="nil"/>
          <w:tr2bl w:val="nil"/>
        </w:tcBorders>
      </w:tcPr>
    </w:tblStylePr>
    <w:tblStylePr w:type="lastRow">
      <w:rPr>
        <w:b/>
        <w:bCs/>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lastCol">
      <w:rPr>
        <w:b/>
        <w:bCs/>
      </w:rPr>
      <w:tblPr/>
      <w:tcPr>
        <w:tcBorders>
          <w:top w:val="nil"/>
          <w:left w:val="single" w:color="000000" w:sz="6" w:space="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0">
    <w:name w:val="Table Simple 3"/>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91">
    <w:name w:val="Table Subtle 1"/>
    <w:basedOn w:val="77"/>
    <w:semiHidden/>
    <w:qFormat/>
    <w:uiPriority w:val="0"/>
    <w:pPr>
      <w:widowControl w:val="0"/>
      <w:jc w:val="both"/>
    </w:pPr>
    <w:tblPr>
      <w:tblStyleRowBandSize w:val="1"/>
    </w:tblPr>
    <w:tblStylePr w:type="firstRow">
      <w:tblPr/>
      <w:tcPr>
        <w:tcBorders>
          <w:top w:val="single" w:color="000000" w:sz="6" w:space="0"/>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single" w:color="000000" w:sz="12" w:space="0"/>
          <w:bottom w:val="nil"/>
          <w:right w:val="nil"/>
          <w:insideH w:val="nil"/>
          <w:insideV w:val="nil"/>
          <w:tl2br w:val="nil"/>
          <w:tr2bl w:val="nil"/>
        </w:tcBorders>
      </w:tcPr>
    </w:tblStylePr>
    <w:tblStylePr w:type="band1Horz">
      <w:tblPr/>
      <w:tcPr>
        <w:tcBorders>
          <w:top w:val="nil"/>
          <w:left w:val="nil"/>
          <w:bottom w:val="single" w:color="000000" w:sz="6" w:space="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2">
    <w:name w:val="Table Subtle 2"/>
    <w:basedOn w:val="77"/>
    <w:semiHidden/>
    <w:qFormat/>
    <w:uiPriority w:val="0"/>
    <w:pPr>
      <w:widowControl w:val="0"/>
      <w:jc w:val="both"/>
    </w:pPr>
    <w:tblPr>
      <w:tblBorders>
        <w:left w:val="single" w:color="000000" w:sz="6" w:space="0"/>
        <w:right w:val="single" w:color="000000" w:sz="6" w:space="0"/>
      </w:tblBorders>
    </w:tblPr>
    <w:tblStylePr w:type="firstRow">
      <w:tblPr/>
      <w:tcPr>
        <w:tcBorders>
          <w:top w:val="nil"/>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firstCol">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cPr>
        <w:tcBorders>
          <w:top w:val="nil"/>
          <w:left w:val="single" w:color="000000" w:sz="12"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3">
    <w:name w:val="Table 3D effects 1"/>
    <w:basedOn w:val="77"/>
    <w:semiHidden/>
    <w:qFormat/>
    <w:uiPriority w:val="0"/>
    <w:pPr>
      <w:widowControl w:val="0"/>
      <w:jc w:val="both"/>
    </w:pPr>
    <w:tblPr/>
    <w:tcPr>
      <w:shd w:val="solid" w:color="C0C0C0" w:fill="FFFFFF"/>
    </w:tcPr>
    <w:tblStylePr w:type="firstRow">
      <w:rPr>
        <w:b/>
        <w:bCs/>
        <w:color w:val="800080"/>
      </w:rPr>
      <w:tblPr/>
      <w:tcPr>
        <w:tcBorders>
          <w:top w:val="nil"/>
          <w:left w:val="nil"/>
          <w:bottom w:val="single" w:color="808080" w:sz="6" w:space="0"/>
          <w:right w:val="nil"/>
          <w:insideH w:val="nil"/>
          <w:insideV w:val="nil"/>
          <w:tl2br w:val="nil"/>
          <w:tr2bl w:val="nil"/>
        </w:tcBorders>
      </w:tcPr>
    </w:tblStylePr>
    <w:tblStylePr w:type="lastRow">
      <w:tblPr/>
      <w:tcPr>
        <w:tcBorders>
          <w:top w:val="single" w:color="FFFFFF"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808080" w:sz="6" w:space="0"/>
          <w:insideH w:val="nil"/>
          <w:insideV w:val="nil"/>
          <w:tl2br w:val="nil"/>
          <w:tr2bl w:val="nil"/>
        </w:tcBorders>
      </w:tcPr>
    </w:tblStylePr>
    <w:tblStylePr w:type="lastCol">
      <w:tblPr/>
      <w:tcPr>
        <w:tcBorders>
          <w:top w:val="nil"/>
          <w:left w:val="single" w:color="FFFFFF" w:sz="6" w:space="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94">
    <w:name w:val="Table 3D effects 2"/>
    <w:basedOn w:val="77"/>
    <w:semiHidden/>
    <w:qFormat/>
    <w:uiPriority w:val="0"/>
    <w:pPr>
      <w:widowControl w:val="0"/>
      <w:jc w:val="both"/>
    </w:pPr>
    <w:tblPr>
      <w:tblStyleRowBandSize w:val="1"/>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Horz">
      <w:tblPr/>
      <w:tcPr>
        <w:tcBorders>
          <w:top w:val="single" w:color="808080" w:sz="6" w:space="0"/>
          <w:left w:val="nil"/>
          <w:bottom w:val="single" w:color="FFFFFF" w:sz="6" w:space="0"/>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5">
    <w:name w:val="Table 3D effects 3"/>
    <w:basedOn w:val="77"/>
    <w:semiHidden/>
    <w:qFormat/>
    <w:uiPriority w:val="0"/>
    <w:pPr>
      <w:widowControl w:val="0"/>
      <w:jc w:val="both"/>
    </w:pPr>
    <w:tblPr>
      <w:tblStyleRowBandSize w:val="1"/>
      <w:tblStyleColBandSize w:val="1"/>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nil"/>
          <w:bottom w:val="single" w:color="FFFFFF" w:sz="6" w:space="0"/>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6">
    <w:name w:val="Table List 1"/>
    <w:basedOn w:val="77"/>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nil"/>
          <w:bottom w:val="single" w:color="000000" w:sz="6" w:space="0"/>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7">
    <w:name w:val="Table List 2"/>
    <w:basedOn w:val="77"/>
    <w:semiHidden/>
    <w:qFormat/>
    <w:uiPriority w:val="0"/>
    <w:pPr>
      <w:widowControl w:val="0"/>
      <w:jc w:val="both"/>
    </w:pPr>
    <w:tblPr>
      <w:tblBorders>
        <w:bottom w:val="single" w:color="808080" w:sz="12" w:space="0"/>
      </w:tblBorders>
    </w:tblPr>
    <w:tblStylePr w:type="firstRow">
      <w:rPr>
        <w:b/>
        <w:bCs/>
        <w:color w:val="FFFFFF"/>
      </w:rPr>
      <w:tblPr/>
      <w:tcPr>
        <w:tcBorders>
          <w:top w:val="nil"/>
          <w:left w:val="nil"/>
          <w:bottom w:val="single" w:color="000000" w:sz="6" w:space="0"/>
          <w:right w:val="nil"/>
          <w:insideH w:val="nil"/>
          <w:insideV w:val="nil"/>
          <w:tl2br w:val="nil"/>
          <w:tr2bl w:val="nil"/>
        </w:tcBorders>
        <w:shd w:val="pct75" w:color="008080" w:fill="008000"/>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8">
    <w:name w:val="Table List 3"/>
    <w:basedOn w:val="77"/>
    <w:semiHidden/>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top w:val="nil"/>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99">
    <w:name w:val="Table List 4"/>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top w:val="nil"/>
          <w:left w:val="nil"/>
          <w:bottom w:val="single" w:color="000000" w:sz="12" w:space="0"/>
          <w:right w:val="nil"/>
          <w:insideH w:val="nil"/>
          <w:insideV w:val="nil"/>
          <w:tl2br w:val="nil"/>
          <w:tr2bl w:val="nil"/>
        </w:tcBorders>
        <w:shd w:val="solid" w:color="808080" w:fill="FFFFFF"/>
      </w:tcPr>
    </w:tblStylePr>
  </w:style>
  <w:style w:type="table" w:styleId="100">
    <w:name w:val="Table List 5"/>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101">
    <w:name w:val="Table List 6"/>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02">
    <w:name w:val="Table List 7"/>
    <w:basedOn w:val="77"/>
    <w:semiHidden/>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blPr/>
      <w:tcPr>
        <w:tcBorders>
          <w:top w:val="single" w:color="008000" w:sz="12"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103">
    <w:name w:val="Table List 8"/>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top w:val="nil"/>
          <w:left w:val="nil"/>
          <w:bottom w:val="single" w:color="000000" w:sz="6" w:space="0"/>
          <w:right w:val="nil"/>
          <w:insideH w:val="nil"/>
          <w:insideV w:val="nil"/>
          <w:tl2br w:val="nil"/>
          <w:tr2bl w:val="nil"/>
        </w:tcBorders>
        <w:shd w:val="solid" w:color="FFFF00" w:fill="FFFFFF"/>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color="auto" w:sz="6" w:space="0"/>
          <w:tr2bl w:val="nil"/>
        </w:tcBorders>
      </w:tcPr>
    </w:tblStylePr>
  </w:style>
  <w:style w:type="table" w:styleId="104">
    <w:name w:val="Table Contemporary"/>
    <w:basedOn w:val="77"/>
    <w:semiHidden/>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05">
    <w:name w:val="Table Columns 1"/>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top w:val="nil"/>
          <w:left w:val="nil"/>
          <w:bottom w:val="double" w:color="000000" w:sz="6" w:space="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6">
    <w:name w:val="Table Columns 2"/>
    <w:basedOn w:val="77"/>
    <w:semiHidden/>
    <w:qFormat/>
    <w:uiPriority w:val="0"/>
    <w:pPr>
      <w:widowControl w:val="0"/>
      <w:jc w:val="both"/>
    </w:pPr>
    <w:rPr>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7">
    <w:name w:val="Table Columns 3"/>
    <w:basedOn w:val="77"/>
    <w:semiHidden/>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color="00008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108">
    <w:name w:val="Table Columns 4"/>
    <w:basedOn w:val="77"/>
    <w:semiHidden/>
    <w:qFormat/>
    <w:uiPriority w:val="0"/>
    <w:pPr>
      <w:widowControl w:val="0"/>
      <w:jc w:val="both"/>
    </w:p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9">
    <w:name w:val="Table Columns 5"/>
    <w:basedOn w:val="77"/>
    <w:semiHidden/>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top w:val="nil"/>
          <w:left w:val="nil"/>
          <w:bottom w:val="single" w:color="808080" w:sz="6" w:space="0"/>
          <w:right w:val="nil"/>
          <w:insideH w:val="nil"/>
          <w:insideV w:val="nil"/>
          <w:tl2br w:val="nil"/>
          <w:tr2bl w:val="nil"/>
        </w:tcBorders>
      </w:tcPr>
    </w:tblStylePr>
    <w:tblStylePr w:type="lastRow">
      <w:rPr>
        <w:b/>
        <w:bCs/>
      </w:rPr>
      <w:tblPr/>
      <w:tcPr>
        <w:tcBorders>
          <w:top w:val="single" w:color="80808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10">
    <w:name w:val="Table Grid 1"/>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1">
    <w:name w:val="Table Grid 2"/>
    <w:basedOn w:val="77"/>
    <w:semiHidden/>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12">
    <w:name w:val="Table Grid 3"/>
    <w:basedOn w:val="77"/>
    <w:semiHidden/>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top w:val="nil"/>
          <w:left w:val="nil"/>
          <w:bottom w:val="single" w:color="000000" w:sz="6" w:space="0"/>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3">
    <w:name w:val="Table Grid 4"/>
    <w:basedOn w:val="77"/>
    <w:semiHidden/>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top w:val="nil"/>
          <w:left w:val="nil"/>
          <w:bottom w:val="single" w:color="000000" w:sz="6" w:space="0"/>
          <w:right w:val="nil"/>
          <w:insideH w:val="nil"/>
          <w:insideV w:val="nil"/>
          <w:tl2br w:val="nil"/>
          <w:tr2bl w:val="nil"/>
        </w:tcBorders>
        <w:shd w:val="pct30" w:color="FFFF00" w:fill="FFFFFF"/>
      </w:tcPr>
    </w:tblStylePr>
    <w:tblStylePr w:type="lastRow">
      <w:rPr>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14">
    <w:name w:val="Table Grid 5"/>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nil"/>
          <w:bottom w:val="single" w:color="000000"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5">
    <w:name w:val="Table Grid 6"/>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6">
    <w:name w:val="Table Grid 7"/>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top w:val="nil"/>
          <w:left w:val="nil"/>
          <w:bottom w:val="single" w:color="000000" w:sz="12" w:space="0"/>
          <w:right w:val="nil"/>
          <w:insideH w:val="nil"/>
          <w:insideV w:val="nil"/>
          <w:tl2br w:val="nil"/>
          <w:tr2bl w:val="nil"/>
        </w:tcBorders>
      </w:tcPr>
    </w:tblStylePr>
    <w:tblStylePr w:type="lastRow">
      <w:rPr>
        <w:b w:val="0"/>
        <w:bCs w:val="0"/>
      </w:rPr>
      <w:tblPr/>
      <w:tcPr>
        <w:tcBorders>
          <w:top w:val="single" w:color="00000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7">
    <w:name w:val="Table Grid 8"/>
    <w:basedOn w:val="77"/>
    <w:semiHidden/>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18">
    <w:name w:val="Table Web 1"/>
    <w:basedOn w:val="77"/>
    <w:semiHidden/>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19">
    <w:name w:val="Table Web 2"/>
    <w:basedOn w:val="77"/>
    <w:semiHidden/>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0">
    <w:name w:val="Table Web 3"/>
    <w:basedOn w:val="77"/>
    <w:semiHidden/>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1">
    <w:name w:val="Table Professional"/>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123">
    <w:name w:val="Strong"/>
    <w:qFormat/>
    <w:uiPriority w:val="0"/>
    <w:rPr>
      <w:b/>
      <w:bCs/>
    </w:rPr>
  </w:style>
  <w:style w:type="character" w:styleId="124">
    <w:name w:val="page number"/>
    <w:semiHidden/>
    <w:qFormat/>
    <w:uiPriority w:val="0"/>
  </w:style>
  <w:style w:type="character" w:styleId="125">
    <w:name w:val="FollowedHyperlink"/>
    <w:semiHidden/>
    <w:qFormat/>
    <w:uiPriority w:val="0"/>
    <w:rPr>
      <w:color w:val="333333"/>
      <w:u w:val="none"/>
    </w:rPr>
  </w:style>
  <w:style w:type="character" w:styleId="126">
    <w:name w:val="Emphasis"/>
    <w:qFormat/>
    <w:uiPriority w:val="0"/>
    <w:rPr>
      <w:i/>
      <w:iCs/>
    </w:rPr>
  </w:style>
  <w:style w:type="character" w:styleId="127">
    <w:name w:val="line number"/>
    <w:semiHidden/>
    <w:qFormat/>
    <w:uiPriority w:val="0"/>
  </w:style>
  <w:style w:type="character" w:styleId="128">
    <w:name w:val="HTML Definition"/>
    <w:semiHidden/>
    <w:qFormat/>
    <w:uiPriority w:val="0"/>
    <w:rPr>
      <w:i/>
      <w:iCs/>
    </w:rPr>
  </w:style>
  <w:style w:type="character" w:styleId="129">
    <w:name w:val="HTML Typewriter"/>
    <w:semiHidden/>
    <w:qFormat/>
    <w:uiPriority w:val="0"/>
    <w:rPr>
      <w:rFonts w:ascii="Courier New" w:hAnsi="Courier New" w:cs="Courier New"/>
      <w:sz w:val="20"/>
      <w:szCs w:val="20"/>
    </w:rPr>
  </w:style>
  <w:style w:type="character" w:styleId="130">
    <w:name w:val="HTML Acronym"/>
    <w:semiHidden/>
    <w:qFormat/>
    <w:uiPriority w:val="0"/>
  </w:style>
  <w:style w:type="character" w:styleId="131">
    <w:name w:val="HTML Variable"/>
    <w:semiHidden/>
    <w:qFormat/>
    <w:uiPriority w:val="0"/>
    <w:rPr>
      <w:i/>
      <w:iCs/>
    </w:rPr>
  </w:style>
  <w:style w:type="character" w:styleId="132">
    <w:name w:val="Hyperlink"/>
    <w:basedOn w:val="122"/>
    <w:qFormat/>
    <w:uiPriority w:val="99"/>
    <w:rPr>
      <w:color w:val="333333"/>
      <w:u w:val="none"/>
    </w:rPr>
  </w:style>
  <w:style w:type="character" w:styleId="133">
    <w:name w:val="HTML Code"/>
    <w:semiHidden/>
    <w:qFormat/>
    <w:uiPriority w:val="0"/>
    <w:rPr>
      <w:rFonts w:ascii="Courier New" w:hAnsi="Courier New" w:cs="Courier New"/>
      <w:sz w:val="20"/>
      <w:szCs w:val="20"/>
    </w:rPr>
  </w:style>
  <w:style w:type="character" w:styleId="134">
    <w:name w:val="annotation reference"/>
    <w:semiHidden/>
    <w:qFormat/>
    <w:uiPriority w:val="0"/>
    <w:rPr>
      <w:sz w:val="21"/>
      <w:szCs w:val="21"/>
    </w:rPr>
  </w:style>
  <w:style w:type="character" w:styleId="135">
    <w:name w:val="HTML Cite"/>
    <w:semiHidden/>
    <w:qFormat/>
    <w:uiPriority w:val="0"/>
    <w:rPr>
      <w:i/>
      <w:iCs/>
    </w:rPr>
  </w:style>
  <w:style w:type="character" w:styleId="136">
    <w:name w:val="HTML Keyboard"/>
    <w:semiHidden/>
    <w:qFormat/>
    <w:uiPriority w:val="0"/>
    <w:rPr>
      <w:rFonts w:ascii="Courier New" w:hAnsi="Courier New" w:cs="Courier New"/>
      <w:sz w:val="20"/>
      <w:szCs w:val="20"/>
    </w:rPr>
  </w:style>
  <w:style w:type="character" w:styleId="137">
    <w:name w:val="HTML Sample"/>
    <w:semiHidden/>
    <w:qFormat/>
    <w:uiPriority w:val="0"/>
    <w:rPr>
      <w:rFonts w:ascii="Courier New" w:hAnsi="Courier New" w:cs="Courier New"/>
    </w:rPr>
  </w:style>
  <w:style w:type="character" w:customStyle="1" w:styleId="138">
    <w:name w:val="正文缩进 字符"/>
    <w:link w:val="19"/>
    <w:qFormat/>
    <w:uiPriority w:val="0"/>
    <w:rPr>
      <w:rFonts w:eastAsia="宋体"/>
      <w:kern w:val="2"/>
      <w:sz w:val="21"/>
      <w:lang w:val="en-US" w:eastAsia="zh-CN" w:bidi="ar-SA"/>
    </w:rPr>
  </w:style>
  <w:style w:type="character" w:customStyle="1" w:styleId="139">
    <w:name w:val="正文文本 字符"/>
    <w:link w:val="2"/>
    <w:semiHidden/>
    <w:qFormat/>
    <w:uiPriority w:val="0"/>
    <w:rPr>
      <w:rFonts w:ascii="Arial" w:hAnsi="Arial" w:eastAsia="黑体"/>
      <w:b/>
      <w:kern w:val="2"/>
      <w:sz w:val="32"/>
    </w:rPr>
  </w:style>
  <w:style w:type="character" w:customStyle="1" w:styleId="140">
    <w:name w:val="纯文本 字符"/>
    <w:link w:val="41"/>
    <w:qFormat/>
    <w:uiPriority w:val="0"/>
    <w:rPr>
      <w:rFonts w:ascii="宋体" w:hAnsi="Courier New" w:eastAsia="宋体"/>
      <w:kern w:val="2"/>
      <w:sz w:val="21"/>
      <w:lang w:val="en-US" w:eastAsia="zh-CN" w:bidi="ar-SA"/>
    </w:rPr>
  </w:style>
  <w:style w:type="character" w:customStyle="1" w:styleId="141">
    <w:name w:val="日期 字符"/>
    <w:link w:val="45"/>
    <w:qFormat/>
    <w:uiPriority w:val="0"/>
    <w:rPr>
      <w:rFonts w:eastAsia="宋体"/>
      <w:kern w:val="2"/>
      <w:sz w:val="21"/>
      <w:szCs w:val="24"/>
      <w:lang w:val="en-US" w:eastAsia="zh-CN" w:bidi="ar-SA"/>
    </w:rPr>
  </w:style>
  <w:style w:type="character" w:customStyle="1" w:styleId="142">
    <w:name w:val="bds_more1"/>
    <w:qFormat/>
    <w:uiPriority w:val="0"/>
    <w:rPr>
      <w:rFonts w:hint="eastAsia" w:ascii="宋体" w:hAnsi="宋体" w:eastAsia="宋体" w:cs="宋体"/>
    </w:rPr>
  </w:style>
  <w:style w:type="character" w:customStyle="1" w:styleId="143">
    <w:name w:val="标题 1 Char Char"/>
    <w:semiHidden/>
    <w:qFormat/>
    <w:uiPriority w:val="0"/>
    <w:rPr>
      <w:rFonts w:eastAsia="宋体"/>
      <w:b/>
      <w:spacing w:val="-2"/>
      <w:sz w:val="24"/>
      <w:lang w:val="en-US" w:eastAsia="zh-CN" w:bidi="ar-SA"/>
    </w:rPr>
  </w:style>
  <w:style w:type="character" w:customStyle="1" w:styleId="144">
    <w:name w:val="tdog-info-toolclose"/>
    <w:qFormat/>
    <w:uiPriority w:val="0"/>
  </w:style>
  <w:style w:type="character" w:customStyle="1" w:styleId="145">
    <w:name w:val="tdog-minimizebut"/>
    <w:qFormat/>
    <w:uiPriority w:val="0"/>
  </w:style>
  <w:style w:type="character" w:customStyle="1" w:styleId="146">
    <w:name w:val="tdog-popup-help"/>
    <w:qFormat/>
    <w:uiPriority w:val="0"/>
    <w:rPr>
      <w:vanish/>
    </w:rPr>
  </w:style>
  <w:style w:type="character" w:customStyle="1" w:styleId="147">
    <w:name w:val="ft21"/>
    <w:semiHidden/>
    <w:qFormat/>
    <w:uiPriority w:val="0"/>
    <w:rPr>
      <w:rFonts w:hint="default" w:ascii="Tahoma" w:hAnsi="Tahoma" w:cs="Tahoma"/>
      <w:color w:val="000000"/>
      <w:sz w:val="20"/>
      <w:szCs w:val="20"/>
    </w:rPr>
  </w:style>
  <w:style w:type="character" w:customStyle="1" w:styleId="148">
    <w:name w:val="普通文字1 Char"/>
    <w:qFormat/>
    <w:uiPriority w:val="0"/>
    <w:rPr>
      <w:rFonts w:ascii="宋体" w:hAnsi="Courier New" w:eastAsia="宋体" w:cs="Courier New"/>
      <w:kern w:val="2"/>
      <w:sz w:val="21"/>
      <w:szCs w:val="21"/>
      <w:lang w:val="en-US" w:eastAsia="zh-CN" w:bidi="ar-SA"/>
    </w:rPr>
  </w:style>
  <w:style w:type="character" w:customStyle="1" w:styleId="149">
    <w:name w:val="bds_nopic"/>
    <w:qFormat/>
    <w:uiPriority w:val="0"/>
  </w:style>
  <w:style w:type="character" w:customStyle="1" w:styleId="150">
    <w:name w:val="bds_more2"/>
    <w:qFormat/>
    <w:uiPriority w:val="0"/>
    <w:rPr>
      <w:rFonts w:ascii="宋体 ! important" w:hAnsi="宋体 ! important" w:eastAsia="宋体 ! important" w:cs="宋体 ! important"/>
      <w:color w:val="454545"/>
      <w:sz w:val="21"/>
      <w:szCs w:val="21"/>
    </w:rPr>
  </w:style>
  <w:style w:type="character" w:customStyle="1" w:styleId="151">
    <w:name w:val="15"/>
    <w:qFormat/>
    <w:uiPriority w:val="0"/>
    <w:rPr>
      <w:rFonts w:hint="default" w:ascii="Times New Roman" w:hAnsi="Times New Roman" w:cs="Times New Roman"/>
      <w:color w:val="0000FF"/>
      <w:u w:val="single"/>
    </w:rPr>
  </w:style>
  <w:style w:type="character" w:customStyle="1" w:styleId="152">
    <w:name w:val="tdog-closebut"/>
    <w:qFormat/>
    <w:uiPriority w:val="0"/>
  </w:style>
  <w:style w:type="character" w:customStyle="1" w:styleId="153">
    <w:name w:val="tdog-msg-count"/>
    <w:qFormat/>
    <w:uiPriority w:val="0"/>
    <w:rPr>
      <w:color w:val="0B4F9E"/>
    </w:rPr>
  </w:style>
  <w:style w:type="character" w:customStyle="1" w:styleId="154">
    <w:name w:val="bds_nopic1"/>
    <w:qFormat/>
    <w:uiPriority w:val="0"/>
  </w:style>
  <w:style w:type="character" w:customStyle="1" w:styleId="155">
    <w:name w:val="hidden2"/>
    <w:qFormat/>
    <w:uiPriority w:val="0"/>
    <w:rPr>
      <w:vanish/>
    </w:rPr>
  </w:style>
  <w:style w:type="character" w:customStyle="1" w:styleId="156">
    <w:name w:val="tdog-popup-talkbar-clear"/>
    <w:qFormat/>
    <w:uiPriority w:val="0"/>
  </w:style>
  <w:style w:type="character" w:customStyle="1" w:styleId="157">
    <w:name w:val="正文缩进2格 Char Char"/>
    <w:link w:val="158"/>
    <w:qFormat/>
    <w:uiPriority w:val="0"/>
    <w:rPr>
      <w:rFonts w:ascii="仿宋_GB2312" w:hAnsi="宋体" w:eastAsia="仿宋_GB2312"/>
      <w:kern w:val="2"/>
      <w:sz w:val="31"/>
      <w:szCs w:val="28"/>
      <w:lang w:val="en-US" w:eastAsia="zh-CN" w:bidi="ar-SA"/>
    </w:rPr>
  </w:style>
  <w:style w:type="paragraph" w:customStyle="1" w:styleId="158">
    <w:name w:val="正文缩进2格"/>
    <w:basedOn w:val="1"/>
    <w:link w:val="157"/>
    <w:qFormat/>
    <w:uiPriority w:val="0"/>
    <w:pPr>
      <w:spacing w:line="600" w:lineRule="exact"/>
      <w:ind w:firstLine="639" w:firstLineChars="206"/>
    </w:pPr>
    <w:rPr>
      <w:rFonts w:ascii="仿宋_GB2312" w:hAnsi="宋体" w:eastAsia="仿宋_GB2312"/>
      <w:sz w:val="31"/>
      <w:szCs w:val="28"/>
    </w:rPr>
  </w:style>
  <w:style w:type="character" w:customStyle="1" w:styleId="159">
    <w:name w:val="font01"/>
    <w:qFormat/>
    <w:uiPriority w:val="0"/>
    <w:rPr>
      <w:rFonts w:hint="eastAsia" w:ascii="宋体" w:hAnsi="宋体" w:eastAsia="宋体" w:cs="宋体"/>
      <w:b/>
      <w:color w:val="000000"/>
      <w:sz w:val="20"/>
      <w:szCs w:val="20"/>
    </w:rPr>
  </w:style>
  <w:style w:type="character" w:customStyle="1" w:styleId="160">
    <w:name w:val="tdog-simplepop-icon"/>
    <w:qFormat/>
    <w:uiPriority w:val="0"/>
  </w:style>
  <w:style w:type="character" w:customStyle="1" w:styleId="161">
    <w:name w:val="apple-converted-space"/>
    <w:qFormat/>
    <w:uiPriority w:val="0"/>
  </w:style>
  <w:style w:type="character" w:customStyle="1" w:styleId="162">
    <w:name w:val="bds_more"/>
    <w:qFormat/>
    <w:uiPriority w:val="0"/>
  </w:style>
  <w:style w:type="character" w:customStyle="1" w:styleId="163">
    <w:name w:val="font11"/>
    <w:qFormat/>
    <w:uiPriority w:val="0"/>
    <w:rPr>
      <w:rFonts w:hint="eastAsia" w:ascii="宋体" w:hAnsi="宋体" w:eastAsia="宋体" w:cs="宋体"/>
      <w:color w:val="000000"/>
      <w:sz w:val="20"/>
      <w:szCs w:val="20"/>
    </w:rPr>
  </w:style>
  <w:style w:type="character" w:customStyle="1" w:styleId="164">
    <w:name w:val="ft31"/>
    <w:semiHidden/>
    <w:qFormat/>
    <w:uiPriority w:val="0"/>
    <w:rPr>
      <w:rFonts w:hint="default" w:ascii="Tahoma" w:hAnsi="Tahoma" w:cs="Tahoma"/>
      <w:b/>
      <w:bCs/>
      <w:color w:val="000000"/>
      <w:sz w:val="24"/>
      <w:szCs w:val="24"/>
    </w:rPr>
  </w:style>
  <w:style w:type="character" w:customStyle="1" w:styleId="165">
    <w:name w:val="tdog-user-name"/>
    <w:qFormat/>
    <w:uiPriority w:val="0"/>
  </w:style>
  <w:style w:type="character" w:customStyle="1" w:styleId="166">
    <w:name w:val="ft81"/>
    <w:semiHidden/>
    <w:qFormat/>
    <w:uiPriority w:val="0"/>
    <w:rPr>
      <w:rFonts w:hint="default" w:ascii="Arial" w:hAnsi="Arial" w:cs="Arial"/>
      <w:color w:val="000000"/>
      <w:sz w:val="20"/>
      <w:szCs w:val="20"/>
    </w:rPr>
  </w:style>
  <w:style w:type="character" w:customStyle="1" w:styleId="167">
    <w:name w:val="ft51"/>
    <w:semiHidden/>
    <w:qFormat/>
    <w:uiPriority w:val="0"/>
    <w:rPr>
      <w:rFonts w:hint="default" w:ascii="Tahoma" w:hAnsi="Tahoma" w:cs="Tahoma"/>
      <w:b/>
      <w:bCs/>
      <w:color w:val="000000"/>
      <w:sz w:val="24"/>
      <w:szCs w:val="24"/>
    </w:rPr>
  </w:style>
  <w:style w:type="character" w:customStyle="1" w:styleId="168">
    <w:name w:val="tdog-systips"/>
    <w:qFormat/>
    <w:uiPriority w:val="0"/>
  </w:style>
  <w:style w:type="character" w:customStyle="1" w:styleId="169">
    <w:name w:val="ft71"/>
    <w:semiHidden/>
    <w:qFormat/>
    <w:uiPriority w:val="0"/>
    <w:rPr>
      <w:rFonts w:hint="default" w:ascii="Tahoma" w:hAnsi="Tahoma" w:cs="Tahoma"/>
      <w:color w:val="000000"/>
      <w:sz w:val="12"/>
      <w:szCs w:val="12"/>
    </w:rPr>
  </w:style>
  <w:style w:type="character" w:customStyle="1" w:styleId="170">
    <w:name w:val="titleblack14px1"/>
    <w:semiHidden/>
    <w:qFormat/>
    <w:uiPriority w:val="0"/>
    <w:rPr>
      <w:b/>
      <w:bCs/>
      <w:color w:val="000000"/>
      <w:sz w:val="21"/>
      <w:szCs w:val="21"/>
    </w:rPr>
  </w:style>
  <w:style w:type="character" w:customStyle="1" w:styleId="171">
    <w:name w:val="纯文本 Char1"/>
    <w:qFormat/>
    <w:uiPriority w:val="0"/>
    <w:rPr>
      <w:rFonts w:ascii="宋体" w:hAnsi="Courier New" w:eastAsia="宋体"/>
      <w:kern w:val="2"/>
      <w:sz w:val="21"/>
      <w:lang w:val="en-US" w:eastAsia="zh-CN" w:bidi="ar-SA"/>
    </w:rPr>
  </w:style>
  <w:style w:type="character" w:customStyle="1" w:styleId="172">
    <w:name w:val="tdog-info-toolopen"/>
    <w:qFormat/>
    <w:uiPriority w:val="0"/>
  </w:style>
  <w:style w:type="character" w:customStyle="1" w:styleId="173">
    <w:name w:val="hover9"/>
    <w:qFormat/>
    <w:uiPriority w:val="0"/>
    <w:rPr>
      <w:bdr w:val="single" w:color="808080" w:sz="6" w:space="0"/>
    </w:rPr>
  </w:style>
  <w:style w:type="character" w:customStyle="1" w:styleId="174">
    <w:name w:val="bds_nopic2"/>
    <w:qFormat/>
    <w:uiPriority w:val="0"/>
  </w:style>
  <w:style w:type="character" w:customStyle="1" w:styleId="175">
    <w:name w:val="tdog-info-title"/>
    <w:qFormat/>
    <w:uiPriority w:val="0"/>
  </w:style>
  <w:style w:type="character" w:customStyle="1" w:styleId="176">
    <w:name w:val="ft61"/>
    <w:semiHidden/>
    <w:qFormat/>
    <w:uiPriority w:val="0"/>
    <w:rPr>
      <w:rFonts w:hint="default" w:ascii="Tahoma" w:hAnsi="Tahoma" w:cs="Tahoma"/>
      <w:b/>
      <w:bCs/>
      <w:color w:val="000000"/>
      <w:sz w:val="20"/>
      <w:szCs w:val="20"/>
    </w:rPr>
  </w:style>
  <w:style w:type="character" w:customStyle="1" w:styleId="177">
    <w:name w:val="tdog-popup-talkbar-report"/>
    <w:qFormat/>
    <w:uiPriority w:val="0"/>
  </w:style>
  <w:style w:type="character" w:customStyle="1" w:styleId="178">
    <w:name w:val="tdog-popup-minimize"/>
    <w:qFormat/>
    <w:uiPriority w:val="0"/>
  </w:style>
  <w:style w:type="character" w:customStyle="1" w:styleId="179">
    <w:name w:val="tdog-info-mailicon2"/>
    <w:qFormat/>
    <w:uiPriority w:val="0"/>
  </w:style>
  <w:style w:type="paragraph" w:customStyle="1" w:styleId="180">
    <w:name w:val="题注4"/>
    <w:basedOn w:val="1"/>
    <w:next w:val="20"/>
    <w:qFormat/>
    <w:uiPriority w:val="0"/>
    <w:pPr>
      <w:ind w:left="-132" w:leftChars="-64" w:right="-105" w:rightChars="-50" w:hanging="2"/>
      <w:jc w:val="center"/>
    </w:pPr>
    <w:rPr>
      <w:b/>
      <w:color w:val="FF0000"/>
      <w:szCs w:val="21"/>
      <w:lang w:val="en-GB"/>
    </w:rPr>
  </w:style>
  <w:style w:type="paragraph" w:customStyle="1" w:styleId="181">
    <w:name w:val="Char Char Char Char"/>
    <w:basedOn w:val="1"/>
    <w:semiHidden/>
    <w:qFormat/>
    <w:uiPriority w:val="0"/>
    <w:pPr>
      <w:widowControl/>
      <w:spacing w:after="160" w:line="240" w:lineRule="exact"/>
      <w:jc w:val="left"/>
    </w:pPr>
  </w:style>
  <w:style w:type="paragraph" w:customStyle="1" w:styleId="182">
    <w:name w:val="正文段"/>
    <w:basedOn w:val="1"/>
    <w:semiHidden/>
    <w:qFormat/>
    <w:uiPriority w:val="0"/>
    <w:pPr>
      <w:widowControl/>
      <w:adjustRightInd w:val="0"/>
      <w:spacing w:after="240" w:line="360" w:lineRule="atLeast"/>
      <w:ind w:firstLine="454"/>
      <w:textAlignment w:val="bottom"/>
    </w:pPr>
    <w:rPr>
      <w:rFonts w:ascii="宋体"/>
      <w:kern w:val="0"/>
      <w:sz w:val="24"/>
      <w:szCs w:val="20"/>
    </w:rPr>
  </w:style>
  <w:style w:type="paragraph" w:customStyle="1" w:styleId="183">
    <w:name w:val="标准段落"/>
    <w:basedOn w:val="1"/>
    <w:semiHidden/>
    <w:qFormat/>
    <w:uiPriority w:val="0"/>
    <w:pPr>
      <w:spacing w:line="420" w:lineRule="atLeast"/>
      <w:ind w:firstLine="200" w:firstLineChars="200"/>
    </w:pPr>
    <w:rPr>
      <w:rFonts w:eastAsia="仿宋_GB2312"/>
      <w:snapToGrid w:val="0"/>
      <w:kern w:val="0"/>
      <w:sz w:val="24"/>
    </w:rPr>
  </w:style>
  <w:style w:type="paragraph" w:customStyle="1" w:styleId="184">
    <w:name w:val="列出段落2"/>
    <w:basedOn w:val="1"/>
    <w:qFormat/>
    <w:uiPriority w:val="0"/>
    <w:pPr>
      <w:ind w:firstLine="420" w:firstLineChars="200"/>
    </w:pPr>
  </w:style>
  <w:style w:type="paragraph" w:customStyle="1" w:styleId="185">
    <w:name w:val="Table Paragraph"/>
    <w:basedOn w:val="1"/>
    <w:qFormat/>
    <w:uiPriority w:val="1"/>
    <w:rPr>
      <w:rFonts w:ascii="Noto Sans Mono CJK JP Regular" w:hAnsi="Noto Sans Mono CJK JP Regular" w:eastAsia="Noto Sans Mono CJK JP Regular" w:cs="Noto Sans Mono CJK JP Regular"/>
    </w:rPr>
  </w:style>
  <w:style w:type="paragraph" w:customStyle="1" w:styleId="186">
    <w:name w:val="z-窗体顶端1"/>
    <w:basedOn w:val="1"/>
    <w:next w:val="1"/>
    <w:qFormat/>
    <w:uiPriority w:val="0"/>
    <w:pPr>
      <w:pBdr>
        <w:bottom w:val="single" w:color="auto" w:sz="6" w:space="1"/>
      </w:pBdr>
      <w:jc w:val="center"/>
    </w:pPr>
    <w:rPr>
      <w:rFonts w:ascii="Arial"/>
      <w:vanish/>
      <w:sz w:val="16"/>
      <w:szCs w:val="20"/>
    </w:rPr>
  </w:style>
  <w:style w:type="paragraph" w:customStyle="1" w:styleId="187">
    <w:name w:val="Char"/>
    <w:basedOn w:val="1"/>
    <w:qFormat/>
    <w:uiPriority w:val="0"/>
    <w:rPr>
      <w:rFonts w:ascii="仿宋_GB2312" w:eastAsia="仿宋_GB2312"/>
      <w:b/>
      <w:sz w:val="32"/>
      <w:szCs w:val="32"/>
    </w:rPr>
  </w:style>
  <w:style w:type="paragraph" w:customStyle="1" w:styleId="188">
    <w:name w:val="Char1"/>
    <w:basedOn w:val="1"/>
    <w:semiHidden/>
    <w:qFormat/>
    <w:uiPriority w:val="0"/>
    <w:pPr>
      <w:widowControl/>
      <w:spacing w:line="400" w:lineRule="exact"/>
      <w:jc w:val="center"/>
    </w:pPr>
    <w:rPr>
      <w:rFonts w:ascii="Verdana" w:hAnsi="Verdana"/>
      <w:kern w:val="0"/>
      <w:szCs w:val="20"/>
      <w:lang w:eastAsia="en-US"/>
    </w:rPr>
  </w:style>
  <w:style w:type="paragraph" w:customStyle="1" w:styleId="189">
    <w:name w:val="缺省文本"/>
    <w:basedOn w:val="1"/>
    <w:semiHidden/>
    <w:qFormat/>
    <w:uiPriority w:val="0"/>
    <w:pPr>
      <w:autoSpaceDE w:val="0"/>
      <w:autoSpaceDN w:val="0"/>
      <w:adjustRightInd w:val="0"/>
      <w:jc w:val="left"/>
    </w:pPr>
    <w:rPr>
      <w:kern w:val="0"/>
      <w:sz w:val="24"/>
    </w:rPr>
  </w:style>
  <w:style w:type="paragraph" w:customStyle="1" w:styleId="190">
    <w:name w:val="Default Paragraph Font Para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1">
    <w:name w:val="纯文本1"/>
    <w:basedOn w:val="1"/>
    <w:qFormat/>
    <w:uiPriority w:val="0"/>
    <w:rPr>
      <w:rFonts w:ascii="Arial" w:hAnsi="Arial" w:eastAsia="Arial"/>
    </w:rPr>
  </w:style>
  <w:style w:type="paragraph" w:customStyle="1" w:styleId="192">
    <w:name w:val="Char Char Char Char1"/>
    <w:basedOn w:val="1"/>
    <w:semiHidden/>
    <w:qFormat/>
    <w:uiPriority w:val="0"/>
    <w:pPr>
      <w:widowControl/>
      <w:spacing w:after="160" w:line="240" w:lineRule="exact"/>
      <w:jc w:val="left"/>
    </w:pPr>
  </w:style>
  <w:style w:type="paragraph" w:customStyle="1" w:styleId="193">
    <w:name w:val="样式 标题 3 + 段前: 0.5 行 段后: 0.5 行"/>
    <w:basedOn w:val="5"/>
    <w:qFormat/>
    <w:uiPriority w:val="0"/>
    <w:pPr>
      <w:keepNext w:val="0"/>
      <w:spacing w:beforeLines="0" w:afterLines="0"/>
      <w:jc w:val="left"/>
    </w:pPr>
    <w:rPr>
      <w:rFonts w:cs="宋体"/>
      <w:bCs/>
      <w:sz w:val="21"/>
    </w:rPr>
  </w:style>
  <w:style w:type="paragraph" w:customStyle="1" w:styleId="194">
    <w:name w:val="Char Char Char Char1 Char Char Char Char Char Char Char Char Char Char"/>
    <w:basedOn w:val="1"/>
    <w:semiHidden/>
    <w:qFormat/>
    <w:uiPriority w:val="0"/>
    <w:pPr>
      <w:widowControl/>
      <w:spacing w:after="160" w:line="240" w:lineRule="exact"/>
      <w:jc w:val="left"/>
    </w:pPr>
    <w:rPr>
      <w:rFonts w:ascii="Tahoma" w:hAnsi="Tahoma"/>
      <w:sz w:val="24"/>
      <w:szCs w:val="20"/>
    </w:rPr>
  </w:style>
  <w:style w:type="paragraph" w:customStyle="1" w:styleId="195">
    <w:name w:val="标题4"/>
    <w:qFormat/>
    <w:uiPriority w:val="0"/>
    <w:pPr>
      <w:widowControl w:val="0"/>
      <w:spacing w:beforeLines="50"/>
      <w:outlineLvl w:val="3"/>
    </w:pPr>
    <w:rPr>
      <w:rFonts w:ascii="宋体" w:hAnsi="宋体" w:eastAsia="宋体" w:cs="Times New Roman"/>
      <w:b/>
      <w:kern w:val="2"/>
      <w:sz w:val="24"/>
      <w:szCs w:val="24"/>
      <w:lang w:val="en-US" w:eastAsia="zh-CN" w:bidi="ar-SA"/>
    </w:rPr>
  </w:style>
  <w:style w:type="paragraph" w:customStyle="1" w:styleId="196">
    <w:name w:val="D&amp;L"/>
    <w:basedOn w:val="50"/>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197">
    <w:name w:val="样式2"/>
    <w:basedOn w:val="1"/>
    <w:semiHidden/>
    <w:qFormat/>
    <w:uiPriority w:val="0"/>
    <w:pPr>
      <w:ind w:left="210" w:leftChars="100" w:right="100" w:rightChars="100"/>
    </w:pPr>
    <w:rPr>
      <w:b/>
      <w:sz w:val="30"/>
    </w:rPr>
  </w:style>
  <w:style w:type="paragraph" w:customStyle="1" w:styleId="198">
    <w:name w:val="标题1"/>
    <w:next w:val="4"/>
    <w:qFormat/>
    <w:uiPriority w:val="0"/>
    <w:pPr>
      <w:widowControl w:val="0"/>
      <w:spacing w:afterLines="100"/>
      <w:jc w:val="center"/>
      <w:outlineLvl w:val="0"/>
    </w:pPr>
    <w:rPr>
      <w:rFonts w:ascii="宋体" w:hAnsi="宋体" w:eastAsia="宋体" w:cs="Times New Roman"/>
      <w:b/>
      <w:bCs/>
      <w:color w:val="000000"/>
      <w:kern w:val="44"/>
      <w:sz w:val="44"/>
      <w:szCs w:val="44"/>
      <w:lang w:val="en-US" w:eastAsia="zh-CN" w:bidi="ar-SA"/>
    </w:rPr>
  </w:style>
  <w:style w:type="paragraph" w:customStyle="1" w:styleId="199">
    <w:name w:val="1 Char Char Char Char"/>
    <w:basedOn w:val="1"/>
    <w:qFormat/>
    <w:uiPriority w:val="0"/>
    <w:pPr>
      <w:spacing w:after="160" w:line="240" w:lineRule="exact"/>
    </w:pPr>
  </w:style>
  <w:style w:type="paragraph" w:customStyle="1" w:styleId="200">
    <w:name w:val="样式3"/>
    <w:basedOn w:val="201"/>
    <w:semiHidden/>
    <w:qFormat/>
    <w:uiPriority w:val="0"/>
    <w:pPr>
      <w:ind w:left="840" w:leftChars="100"/>
    </w:pPr>
  </w:style>
  <w:style w:type="paragraph" w:customStyle="1" w:styleId="201">
    <w:name w:val="样式 标题 2 + 小三 加粗 行距: 固定值 20 磅"/>
    <w:basedOn w:val="4"/>
    <w:semiHidden/>
    <w:qFormat/>
    <w:uiPriority w:val="0"/>
    <w:pPr>
      <w:ind w:right="210" w:rightChars="100" w:firstLine="0" w:firstLineChars="0"/>
    </w:pPr>
    <w:rPr>
      <w:rFonts w:cs="宋体"/>
      <w:b w:val="0"/>
      <w:bCs w:val="0"/>
      <w:sz w:val="44"/>
    </w:rPr>
  </w:style>
  <w:style w:type="paragraph" w:customStyle="1" w:styleId="202">
    <w:name w:val="Char Char Char1 Char Char Char Char Char Char Char Char Char Char"/>
    <w:basedOn w:val="1"/>
    <w:semiHidden/>
    <w:qFormat/>
    <w:uiPriority w:val="0"/>
    <w:rPr>
      <w:rFonts w:ascii="仿宋_GB2312" w:eastAsia="仿宋_GB2312"/>
      <w:b/>
      <w:sz w:val="32"/>
      <w:szCs w:val="32"/>
    </w:rPr>
  </w:style>
  <w:style w:type="paragraph" w:customStyle="1" w:styleId="203">
    <w:name w:val="0"/>
    <w:basedOn w:val="1"/>
    <w:semiHidden/>
    <w:qFormat/>
    <w:uiPriority w:val="0"/>
    <w:pPr>
      <w:widowControl/>
      <w:snapToGrid w:val="0"/>
      <w:spacing w:line="365" w:lineRule="atLeast"/>
      <w:ind w:left="1"/>
      <w:textAlignment w:val="bottom"/>
    </w:pPr>
    <w:rPr>
      <w:kern w:val="0"/>
      <w:sz w:val="20"/>
      <w:szCs w:val="20"/>
    </w:rPr>
  </w:style>
  <w:style w:type="paragraph" w:customStyle="1" w:styleId="204">
    <w:name w:val="Char Char2"/>
    <w:basedOn w:val="1"/>
    <w:semiHidden/>
    <w:qFormat/>
    <w:uiPriority w:val="0"/>
    <w:pPr>
      <w:widowControl/>
      <w:spacing w:after="160" w:line="240" w:lineRule="exact"/>
      <w:jc w:val="left"/>
    </w:pPr>
    <w:rPr>
      <w:szCs w:val="20"/>
    </w:rPr>
  </w:style>
  <w:style w:type="paragraph" w:customStyle="1" w:styleId="205">
    <w:name w:val="Char Char Char Char Char Char Char Char Char Char Char Char Char Char Char Char Char Char Char"/>
    <w:basedOn w:val="1"/>
    <w:semiHidden/>
    <w:qFormat/>
    <w:uiPriority w:val="0"/>
    <w:pPr>
      <w:numPr>
        <w:ilvl w:val="0"/>
        <w:numId w:val="12"/>
      </w:numPr>
      <w:tabs>
        <w:tab w:val="left" w:pos="907"/>
        <w:tab w:val="clear" w:pos="960"/>
      </w:tabs>
    </w:pPr>
    <w:rPr>
      <w:szCs w:val="20"/>
    </w:rPr>
  </w:style>
  <w:style w:type="paragraph" w:customStyle="1" w:styleId="206">
    <w:name w:val="样式31"/>
    <w:basedOn w:val="201"/>
    <w:next w:val="200"/>
    <w:semiHidden/>
    <w:qFormat/>
    <w:uiPriority w:val="0"/>
  </w:style>
  <w:style w:type="paragraph" w:customStyle="1" w:styleId="207">
    <w:name w:val="标题2"/>
    <w:qFormat/>
    <w:uiPriority w:val="0"/>
    <w:pPr>
      <w:widowControl w:val="0"/>
      <w:spacing w:beforeLines="100" w:afterLines="100"/>
      <w:jc w:val="center"/>
      <w:outlineLvl w:val="1"/>
    </w:pPr>
    <w:rPr>
      <w:rFonts w:ascii="黑体" w:hAnsi="黑体" w:eastAsia="黑体" w:cs="Times New Roman"/>
      <w:color w:val="000000"/>
      <w:kern w:val="2"/>
      <w:sz w:val="44"/>
      <w:szCs w:val="44"/>
      <w:lang w:val="en-US" w:eastAsia="zh-CN" w:bidi="ar-SA"/>
    </w:rPr>
  </w:style>
  <w:style w:type="paragraph" w:customStyle="1" w:styleId="208">
    <w:name w:val="z-窗体底端1"/>
    <w:basedOn w:val="1"/>
    <w:next w:val="1"/>
    <w:qFormat/>
    <w:uiPriority w:val="0"/>
    <w:pPr>
      <w:pBdr>
        <w:top w:val="single" w:color="auto" w:sz="6" w:space="1"/>
      </w:pBdr>
      <w:jc w:val="center"/>
    </w:pPr>
    <w:rPr>
      <w:rFonts w:ascii="Arial"/>
      <w:vanish/>
      <w:sz w:val="16"/>
      <w:szCs w:val="20"/>
    </w:rPr>
  </w:style>
  <w:style w:type="paragraph" w:customStyle="1" w:styleId="209">
    <w:name w:val="标题3"/>
    <w:next w:val="6"/>
    <w:qFormat/>
    <w:uiPriority w:val="0"/>
    <w:pPr>
      <w:widowControl w:val="0"/>
      <w:spacing w:beforeLines="100"/>
      <w:jc w:val="both"/>
      <w:outlineLvl w:val="2"/>
    </w:pPr>
    <w:rPr>
      <w:rFonts w:ascii="Times New Roman" w:hAnsi="Times New Roman" w:eastAsia="宋体" w:cs="Times New Roman"/>
      <w:b/>
      <w:kern w:val="2"/>
      <w:sz w:val="28"/>
      <w:szCs w:val="24"/>
      <w:lang w:val="en-US" w:eastAsia="zh-CN" w:bidi="ar-SA"/>
    </w:rPr>
  </w:style>
  <w:style w:type="paragraph" w:customStyle="1" w:styleId="210">
    <w:name w:val="Char2"/>
    <w:basedOn w:val="1"/>
    <w:qFormat/>
    <w:uiPriority w:val="0"/>
    <w:pPr>
      <w:widowControl/>
      <w:spacing w:after="160" w:line="240" w:lineRule="exact"/>
      <w:jc w:val="left"/>
    </w:pPr>
    <w:rPr>
      <w:rFonts w:ascii="Verdana" w:hAnsi="Verdana" w:eastAsia="MS Mincho" w:cs="Verdana"/>
      <w:kern w:val="0"/>
      <w:sz w:val="20"/>
      <w:szCs w:val="20"/>
      <w:lang w:eastAsia="en-US" w:bidi="kn-IN"/>
    </w:rPr>
  </w:style>
  <w:style w:type="paragraph" w:customStyle="1" w:styleId="211">
    <w:name w:val="默认段落字体 Para Char Char Char Char Char Char Char Char Char1 Char Char Char Char Char Char Char Char"/>
    <w:basedOn w:val="23"/>
    <w:semiHidden/>
    <w:qFormat/>
    <w:uiPriority w:val="0"/>
    <w:pPr>
      <w:keepNext w:val="0"/>
      <w:keepLines w:val="0"/>
      <w:spacing w:before="0" w:after="0" w:line="240" w:lineRule="auto"/>
      <w:outlineLvl w:val="9"/>
    </w:pPr>
    <w:rPr>
      <w:rFonts w:hint="eastAsia" w:ascii="宋体" w:hAnsi="宋体"/>
      <w:bCs w:val="0"/>
      <w:kern w:val="0"/>
      <w:szCs w:val="24"/>
    </w:rPr>
  </w:style>
  <w:style w:type="paragraph" w:customStyle="1" w:styleId="212">
    <w:name w:val="列表段落1"/>
    <w:basedOn w:val="1"/>
    <w:qFormat/>
    <w:uiPriority w:val="0"/>
    <w:pPr>
      <w:ind w:firstLine="420" w:firstLineChars="200"/>
    </w:pPr>
    <w:rPr>
      <w:rFonts w:ascii="Calibri" w:hAnsi="Calibri"/>
      <w:szCs w:val="22"/>
    </w:rPr>
  </w:style>
  <w:style w:type="paragraph" w:customStyle="1" w:styleId="213">
    <w:name w:val="Char Char Char Char Char Char Char"/>
    <w:basedOn w:val="1"/>
    <w:qFormat/>
    <w:uiPriority w:val="0"/>
    <w:pPr>
      <w:widowControl/>
      <w:spacing w:after="160" w:line="240" w:lineRule="exact"/>
      <w:jc w:val="left"/>
    </w:pPr>
    <w:rPr>
      <w:rFonts w:ascii="宋体" w:hAnsi="宋体"/>
      <w:b/>
      <w:sz w:val="24"/>
      <w:szCs w:val="20"/>
    </w:rPr>
  </w:style>
  <w:style w:type="paragraph" w:customStyle="1" w:styleId="214">
    <w:name w:val="WPS Plain"/>
    <w:semiHidden/>
    <w:qFormat/>
    <w:uiPriority w:val="0"/>
    <w:rPr>
      <w:rFonts w:ascii="Times New Roman" w:hAnsi="Times New Roman" w:eastAsia="宋体" w:cs="Times New Roman"/>
      <w:lang w:val="en-US" w:eastAsia="zh-CN" w:bidi="ar-SA"/>
    </w:rPr>
  </w:style>
  <w:style w:type="paragraph" w:customStyle="1" w:styleId="215">
    <w:name w:val="列出段落1"/>
    <w:basedOn w:val="1"/>
    <w:qFormat/>
    <w:uiPriority w:val="34"/>
    <w:pPr>
      <w:spacing w:line="440" w:lineRule="exact"/>
      <w:ind w:firstLine="420" w:firstLineChars="200"/>
    </w:pPr>
    <w:rPr>
      <w:sz w:val="24"/>
    </w:rPr>
  </w:style>
  <w:style w:type="paragraph" w:customStyle="1" w:styleId="216">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17">
    <w:name w:val="p0"/>
    <w:basedOn w:val="1"/>
    <w:qFormat/>
    <w:uiPriority w:val="0"/>
    <w:pPr>
      <w:widowControl/>
    </w:pPr>
    <w:rPr>
      <w:kern w:val="0"/>
      <w:szCs w:val="21"/>
    </w:rPr>
  </w:style>
  <w:style w:type="paragraph" w:customStyle="1" w:styleId="218">
    <w:name w:val="Char3"/>
    <w:basedOn w:val="1"/>
    <w:semiHidden/>
    <w:qFormat/>
    <w:uiPriority w:val="0"/>
  </w:style>
  <w:style w:type="paragraph" w:customStyle="1" w:styleId="219">
    <w:name w:val="Char1 Char Char Char Char Char Char"/>
    <w:basedOn w:val="1"/>
    <w:qFormat/>
    <w:uiPriority w:val="0"/>
    <w:rPr>
      <w:szCs w:val="20"/>
    </w:rPr>
  </w:style>
  <w:style w:type="paragraph" w:customStyle="1" w:styleId="220">
    <w:name w:val="Char11"/>
    <w:basedOn w:val="23"/>
    <w:qFormat/>
    <w:uiPriority w:val="0"/>
    <w:pPr>
      <w:keepNext w:val="0"/>
      <w:keepLines w:val="0"/>
      <w:spacing w:before="0" w:after="0" w:line="240" w:lineRule="auto"/>
      <w:jc w:val="both"/>
      <w:outlineLvl w:val="9"/>
    </w:pPr>
    <w:rPr>
      <w:bCs w:val="0"/>
      <w:kern w:val="0"/>
      <w:sz w:val="21"/>
      <w:szCs w:val="20"/>
    </w:rPr>
  </w:style>
  <w:style w:type="paragraph" w:customStyle="1" w:styleId="221">
    <w:name w:val="Char Char Char Char Char"/>
    <w:basedOn w:val="1"/>
    <w:qFormat/>
    <w:uiPriority w:val="0"/>
    <w:pPr>
      <w:widowControl/>
      <w:tabs>
        <w:tab w:val="left" w:pos="1360"/>
      </w:tabs>
      <w:ind w:left="1360" w:hanging="720"/>
      <w:jc w:val="left"/>
    </w:pPr>
    <w:rPr>
      <w:rFonts w:ascii="宋体" w:hAnsi="宋体" w:cs="宋体"/>
      <w:kern w:val="0"/>
      <w:sz w:val="24"/>
    </w:rPr>
  </w:style>
  <w:style w:type="paragraph" w:customStyle="1" w:styleId="222">
    <w:name w:val="xl31"/>
    <w:basedOn w:val="1"/>
    <w:qFormat/>
    <w:uiPriority w:val="0"/>
    <w:pPr>
      <w:widowControl/>
      <w:spacing w:before="100" w:beforeAutospacing="1" w:after="100" w:afterAutospacing="1"/>
      <w:jc w:val="center"/>
    </w:pPr>
    <w:rPr>
      <w:b/>
      <w:bCs/>
      <w:kern w:val="0"/>
      <w:sz w:val="28"/>
      <w:szCs w:val="28"/>
    </w:rPr>
  </w:style>
  <w:style w:type="paragraph" w:customStyle="1" w:styleId="223">
    <w:name w:val="Char Char Char Char Char Char Char1 Char"/>
    <w:basedOn w:val="1"/>
    <w:qFormat/>
    <w:uiPriority w:val="0"/>
    <w:rPr>
      <w:rFonts w:ascii="Arial" w:hAnsi="Arial" w:cs="Arial"/>
      <w:sz w:val="24"/>
    </w:rPr>
  </w:style>
  <w:style w:type="character" w:customStyle="1" w:styleId="224">
    <w:name w:val="span4"/>
    <w:basedOn w:val="122"/>
    <w:qFormat/>
    <w:uiPriority w:val="0"/>
    <w:rPr>
      <w:color w:val="DD3232"/>
      <w:shd w:val="clear" w:color="auto" w:fill="FEB5B5"/>
    </w:rPr>
  </w:style>
  <w:style w:type="character" w:customStyle="1" w:styleId="225">
    <w:name w:val="last-child"/>
    <w:basedOn w:val="122"/>
    <w:qFormat/>
    <w:uiPriority w:val="0"/>
  </w:style>
  <w:style w:type="character" w:customStyle="1" w:styleId="226">
    <w:name w:val="last-child1"/>
    <w:basedOn w:val="122"/>
    <w:qFormat/>
    <w:uiPriority w:val="0"/>
  </w:style>
  <w:style w:type="character" w:customStyle="1" w:styleId="227">
    <w:name w:val="hover8"/>
    <w:basedOn w:val="122"/>
    <w:qFormat/>
    <w:uiPriority w:val="0"/>
    <w:rPr>
      <w:color w:val="333333"/>
    </w:rPr>
  </w:style>
  <w:style w:type="character" w:customStyle="1" w:styleId="228">
    <w:name w:val="hover10"/>
    <w:basedOn w:val="122"/>
    <w:qFormat/>
    <w:uiPriority w:val="0"/>
    <w:rPr>
      <w:color w:val="FFFFFF"/>
      <w:bdr w:val="single" w:color="00A680" w:sz="6" w:space="0"/>
      <w:shd w:val="clear" w:color="auto" w:fill="00A680"/>
    </w:rPr>
  </w:style>
  <w:style w:type="character" w:customStyle="1" w:styleId="229">
    <w:name w:val="hover11"/>
    <w:basedOn w:val="122"/>
    <w:qFormat/>
    <w:uiPriority w:val="0"/>
    <w:rPr>
      <w:color w:val="BBBBBB"/>
      <w:bdr w:val="single" w:color="FFFFFF" w:sz="6" w:space="0"/>
      <w:shd w:val="clear" w:color="auto" w:fill="FFFFFF"/>
    </w:rPr>
  </w:style>
  <w:style w:type="character" w:customStyle="1" w:styleId="230">
    <w:name w:val="hover12"/>
    <w:basedOn w:val="122"/>
    <w:qFormat/>
    <w:uiPriority w:val="0"/>
    <w:rPr>
      <w:bdr w:val="single" w:color="D0F0E3" w:sz="6" w:space="0"/>
      <w:shd w:val="clear" w:color="auto" w:fill="D0F0E3"/>
    </w:rPr>
  </w:style>
  <w:style w:type="character" w:customStyle="1" w:styleId="231">
    <w:name w:val="hover13"/>
    <w:basedOn w:val="122"/>
    <w:qFormat/>
    <w:uiPriority w:val="0"/>
    <w:rPr>
      <w:bdr w:val="single" w:color="F2F2F2" w:sz="6" w:space="0"/>
      <w:shd w:val="clear" w:color="auto" w:fill="F2F2F2"/>
    </w:rPr>
  </w:style>
  <w:style w:type="character" w:customStyle="1" w:styleId="232">
    <w:name w:val="hover14"/>
    <w:basedOn w:val="122"/>
    <w:qFormat/>
    <w:uiPriority w:val="0"/>
    <w:rPr>
      <w:color w:val="FFFFFF"/>
      <w:bdr w:val="single" w:color="00A680" w:sz="6" w:space="0"/>
      <w:shd w:val="clear" w:color="auto" w:fill="00A680"/>
    </w:rPr>
  </w:style>
  <w:style w:type="character" w:customStyle="1" w:styleId="233">
    <w:name w:val="hover15"/>
    <w:basedOn w:val="122"/>
    <w:qFormat/>
    <w:uiPriority w:val="0"/>
    <w:rPr>
      <w:color w:val="BBBBBB"/>
      <w:bdr w:val="single" w:color="FFFFFF" w:sz="6" w:space="0"/>
      <w:shd w:val="clear" w:color="auto" w:fill="FFFFFF"/>
    </w:rPr>
  </w:style>
  <w:style w:type="character" w:customStyle="1" w:styleId="234">
    <w:name w:val="hover16"/>
    <w:basedOn w:val="122"/>
    <w:qFormat/>
    <w:uiPriority w:val="0"/>
    <w:rPr>
      <w:bdr w:val="single" w:color="D0F0E3" w:sz="6" w:space="0"/>
      <w:shd w:val="clear" w:color="auto" w:fill="D0F0E3"/>
    </w:rPr>
  </w:style>
  <w:style w:type="character" w:customStyle="1" w:styleId="235">
    <w:name w:val="span1"/>
    <w:basedOn w:val="122"/>
    <w:qFormat/>
    <w:uiPriority w:val="0"/>
    <w:rPr>
      <w:color w:val="666666"/>
      <w:shd w:val="clear" w:color="auto" w:fill="EDEDED"/>
    </w:rPr>
  </w:style>
  <w:style w:type="character" w:customStyle="1" w:styleId="236">
    <w:name w:val="first-child1"/>
    <w:basedOn w:val="122"/>
    <w:qFormat/>
    <w:uiPriority w:val="0"/>
  </w:style>
  <w:style w:type="character" w:customStyle="1" w:styleId="237">
    <w:name w:val="span2"/>
    <w:basedOn w:val="122"/>
    <w:qFormat/>
    <w:uiPriority w:val="0"/>
    <w:rPr>
      <w:color w:val="FFFFFF"/>
      <w:shd w:val="clear" w:color="auto" w:fill="004798"/>
    </w:rPr>
  </w:style>
  <w:style w:type="character" w:customStyle="1" w:styleId="238">
    <w:name w:val="span3"/>
    <w:basedOn w:val="122"/>
    <w:qFormat/>
    <w:uiPriority w:val="0"/>
    <w:rPr>
      <w:color w:val="004798"/>
    </w:rPr>
  </w:style>
  <w:style w:type="character" w:customStyle="1" w:styleId="239">
    <w:name w:val="active2"/>
    <w:basedOn w:val="122"/>
    <w:qFormat/>
    <w:uiPriority w:val="0"/>
    <w:rPr>
      <w:color w:val="015293"/>
      <w:bdr w:val="single" w:color="015293" w:sz="6" w:space="0"/>
    </w:rPr>
  </w:style>
  <w:style w:type="character" w:customStyle="1" w:styleId="240">
    <w:name w:val="last-child2"/>
    <w:basedOn w:val="122"/>
    <w:qFormat/>
    <w:uiPriority w:val="0"/>
  </w:style>
  <w:style w:type="character" w:customStyle="1" w:styleId="241">
    <w:name w:val="first-child2"/>
    <w:basedOn w:val="122"/>
    <w:qFormat/>
    <w:uiPriority w:val="0"/>
  </w:style>
  <w:style w:type="character" w:customStyle="1" w:styleId="242">
    <w:name w:val="hover"/>
    <w:basedOn w:val="122"/>
    <w:qFormat/>
    <w:uiPriority w:val="0"/>
    <w:rPr>
      <w:bdr w:val="single" w:color="F2F2F2" w:sz="6" w:space="0"/>
      <w:shd w:val="clear" w:color="auto" w:fill="F2F2F2"/>
    </w:rPr>
  </w:style>
  <w:style w:type="character" w:customStyle="1" w:styleId="243">
    <w:name w:val="hover1"/>
    <w:basedOn w:val="122"/>
    <w:qFormat/>
    <w:uiPriority w:val="0"/>
    <w:rPr>
      <w:color w:val="FFFFFF"/>
      <w:bdr w:val="single" w:color="00A680" w:sz="6" w:space="0"/>
      <w:shd w:val="clear" w:color="auto" w:fill="00A680"/>
    </w:rPr>
  </w:style>
  <w:style w:type="character" w:customStyle="1" w:styleId="244">
    <w:name w:val="hover2"/>
    <w:basedOn w:val="122"/>
    <w:qFormat/>
    <w:uiPriority w:val="0"/>
    <w:rPr>
      <w:color w:val="BBBBBB"/>
      <w:bdr w:val="single" w:color="FFFFFF" w:sz="6" w:space="0"/>
      <w:shd w:val="clear" w:color="auto" w:fill="FFFFFF"/>
    </w:rPr>
  </w:style>
  <w:style w:type="character" w:customStyle="1" w:styleId="245">
    <w:name w:val="hover3"/>
    <w:basedOn w:val="122"/>
    <w:qFormat/>
    <w:uiPriority w:val="0"/>
    <w:rPr>
      <w:bdr w:val="single" w:color="D0F0E3" w:sz="6" w:space="0"/>
      <w:shd w:val="clear" w:color="auto" w:fill="D0F0E3"/>
    </w:rPr>
  </w:style>
  <w:style w:type="character" w:customStyle="1" w:styleId="246">
    <w:name w:val="hover4"/>
    <w:basedOn w:val="122"/>
    <w:qFormat/>
    <w:uiPriority w:val="0"/>
    <w:rPr>
      <w:bdr w:val="single" w:color="F2F2F2" w:sz="6" w:space="0"/>
      <w:shd w:val="clear" w:color="auto" w:fill="F2F2F2"/>
    </w:rPr>
  </w:style>
  <w:style w:type="character" w:customStyle="1" w:styleId="247">
    <w:name w:val="hover5"/>
    <w:basedOn w:val="122"/>
    <w:qFormat/>
    <w:uiPriority w:val="0"/>
    <w:rPr>
      <w:color w:val="FFFFFF"/>
      <w:bdr w:val="single" w:color="00A680" w:sz="6" w:space="0"/>
      <w:shd w:val="clear" w:color="auto" w:fill="00A680"/>
    </w:rPr>
  </w:style>
  <w:style w:type="character" w:customStyle="1" w:styleId="248">
    <w:name w:val="hover6"/>
    <w:basedOn w:val="122"/>
    <w:qFormat/>
    <w:uiPriority w:val="0"/>
    <w:rPr>
      <w:color w:val="BBBBBB"/>
      <w:bdr w:val="single" w:color="FFFFFF" w:sz="6" w:space="0"/>
      <w:shd w:val="clear" w:color="auto" w:fill="FFFFFF"/>
    </w:rPr>
  </w:style>
  <w:style w:type="character" w:customStyle="1" w:styleId="249">
    <w:name w:val="hover7"/>
    <w:basedOn w:val="122"/>
    <w:qFormat/>
    <w:uiPriority w:val="0"/>
    <w:rPr>
      <w:bdr w:val="single" w:color="D0F0E3" w:sz="6" w:space="0"/>
      <w:shd w:val="clear" w:color="auto" w:fill="D0F0E3"/>
    </w:rPr>
  </w:style>
  <w:style w:type="character" w:customStyle="1" w:styleId="250">
    <w:name w:val="first-child"/>
    <w:basedOn w:val="122"/>
    <w:qFormat/>
    <w:uiPriority w:val="0"/>
  </w:style>
  <w:style w:type="paragraph" w:customStyle="1" w:styleId="251">
    <w:name w:val="默认"/>
    <w:qFormat/>
    <w:uiPriority w:val="0"/>
    <w:rPr>
      <w:rFonts w:hint="eastAsia" w:ascii="Arial Unicode MS" w:hAnsi="Arial Unicode MS" w:eastAsia="Helvetica" w:cs="Arial Unicode MS"/>
      <w:color w:val="000000"/>
      <w:sz w:val="22"/>
      <w:szCs w:val="22"/>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9eef0ef6-1721-4c15-ab32-ae1b227d03de</errorID>
      <errorWord>2026年03月09日</errorWord>
      <group>L1_Knowledge</group>
      <groupName>知识性问题</groupName>
      <ability>L2_Time</ability>
      <abilityName>日期时间</abilityName>
      <candidateList>
        <item>2026年3月9日</item>
      </candidateList>
      <explain>根据日常书写习惯，月份和日期一般会省略前导零。</explain>
      <paraID>7930768E</paraID>
      <start>47</start>
      <end>58</end>
      <status>unmodified</status>
      <modifiedWord/>
      <trackRevisions>false</trackRevisions>
    </reviewItem>
    <reviewItem>
      <errorID>0012a847-7040-4999-93c1-c0811a6a7ed6</errorID>
      <errorWord>2026年02月25日</errorWord>
      <group>L1_Knowledge</group>
      <groupName>知识性问题</groupName>
      <ability>L2_Time</ability>
      <abilityName>日期时间</abilityName>
      <candidateList>
        <item>2026年2月25日</item>
      </candidateList>
      <explain>根据日常书写习惯，月份一般会省略前导零。</explain>
      <paraID>43810903</paraID>
      <start>3</start>
      <end>14</end>
      <status>unmodified</status>
      <modifiedWord/>
      <trackRevisions>false</trackRevisions>
    </reviewItem>
    <reviewItem>
      <errorID>ae0322d4-3d46-4497-b9ff-a8e24c6a0558</errorID>
      <errorWord>2026年03月02日</errorWord>
      <group>L1_Knowledge</group>
      <groupName>知识性问题</groupName>
      <ability>L2_Time</ability>
      <abilityName>日期时间</abilityName>
      <candidateList>
        <item>2026年3月2日</item>
      </candidateList>
      <explain>根据日常书写习惯，月份和日期一般会省略前导零。</explain>
      <paraID>43810903</paraID>
      <start>15</start>
      <end>26</end>
      <status>unmodified</status>
      <modifiedWord/>
      <trackRevisions>false</trackRevisions>
    </reviewItem>
    <reviewItem>
      <errorID>31cc2863-6d72-4c6f-beb7-4abfaac09c2c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50178D0E</paraID>
      <start>0</start>
      <end>2</end>
      <status>unmodified</status>
      <modifiedWord/>
      <trackRevisions>false</trackRevisions>
    </reviewItem>
    <reviewItem>
      <errorID>76dcf0cb-485d-4b68-a75c-f6988ac6de8a</errorID>
      <errorWord>2026年03月09日</errorWord>
      <group>L1_Knowledge</group>
      <groupName>知识性问题</groupName>
      <ability>L2_Time</ability>
      <abilityName>日期时间</abilityName>
      <candidateList>
        <item>2026年3月9日</item>
      </candidateList>
      <explain>根据日常书写习惯，月份和日期一般会省略前导零。</explain>
      <paraID>50178D0E</paraID>
      <start>7</start>
      <end>18</end>
      <status>unmodified</status>
      <modifiedWord/>
      <trackRevisions>false</trackRevisions>
    </reviewItem>
    <reviewItem>
      <errorID>8a94423b-9254-46f5-82c0-8bf287201393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3902C786</paraID>
      <start>0</start>
      <end>2</end>
      <status>unmodified</status>
      <modifiedWord/>
      <trackRevisions>false</trackRevisions>
    </reviewItem>
    <reviewItem>
      <errorID>cfa0a677-572c-4dc2-8055-50f45659d63f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6DF89646</paraID>
      <start>0</start>
      <end>2</end>
      <status>unmodified</status>
      <modifiedWord/>
      <trackRevisions>false</trackRevisions>
    </reviewItem>
    <reviewItem>
      <errorID>bf56a24c-d0c6-46bc-a625-d8c5aa2751b5</errorID>
      <errorWord>2026年03月</errorWord>
      <group>L1_Knowledge</group>
      <groupName>知识性问题</groupName>
      <ability>L2_Time</ability>
      <abilityName>日期时间</abilityName>
      <candidateList>
        <item>2026年3月</item>
      </candidateList>
      <explain>根据日常书写习惯，月份一般会省略前导零。</explain>
      <paraID>6DF89646</paraID>
      <start>5</start>
      <end>13</end>
      <status>unmodified</status>
      <modifiedWord/>
      <trackRevisions>false</trackRevisions>
    </reviewItem>
    <reviewItem>
      <errorID>114d7458-3d25-4108-a21e-b34ba236d272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2E5D0748</paraID>
      <start>0</start>
      <end>2</end>
      <status>unmodified</status>
      <modifiedWord/>
      <trackRevisions>false</trackRevisions>
    </reviewItem>
    <reviewItem>
      <errorID>3603f6c2-7929-4fe0-bd50-6a7943de02e3</errorID>
      <errorWord>贵池</errorWord>
      <group>L1_AI</group>
      <groupName>深度校对</groupName>
      <ability>L2_AI_Word</ability>
      <abilityName>字词纠错</abilityName>
      <candidateList>
        <item>贵池区</item>
      </candidateList>
      <explain/>
      <paraID>5B3D5585</paraID>
      <start>7</start>
      <end>9</end>
      <status>unmodified</status>
      <modifiedWord/>
      <trackRevisions>false</trackRevisions>
    </reviewItem>
    <reviewItem>
      <errorID>917f4d91-3e2e-4b9c-8803-2a40aec710fe</errorID>
      <errorWord>2026年03月02日</errorWord>
      <group>L1_Knowledge</group>
      <groupName>知识性问题</groupName>
      <ability>L2_Time</ability>
      <abilityName>日期时间</abilityName>
      <candidateList>
        <item>2026年3月2日</item>
      </candidateList>
      <explain>根据日常书写习惯，月份和日期一般会省略前导零。</explain>
      <paraID>6D757AD2</paraID>
      <start>0</start>
      <end>11</end>
      <status>unmodified</status>
      <modifiedWord/>
      <trackRevisions>false</trackRevisions>
    </reviewItem>
    <reviewItem>
      <errorID>1725847e-c7e4-4333-816e-2be147fbc03d</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 4DB9198</paraID>
      <start>73</start>
      <end>74</end>
      <status>unmodified</status>
      <modifiedWord/>
      <trackRevisions>false</trackRevisions>
    </reviewItem>
    <reviewItem>
      <errorID>5ff2de6c-7c85-4047-8431-6dd5a97900b7</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 4DB9198</paraID>
      <start>82</start>
      <end>83</end>
      <status>unmodified</status>
      <modifiedWord/>
      <trackRevisions>false</trackRevisions>
    </reviewItem>
    <reviewItem>
      <errorID>69b59479-dc0b-4ad7-9bea-cdd03528ddcc</errorID>
      <errorWord>法律、法规</errorWord>
      <group>L1_Word</group>
      <groupName>字词问题</groupName>
      <ability>L2_Typo</ability>
      <abilityName>字词错误</abilityName>
      <candidateList>
        <item>法律法规</item>
      </candidateList>
      <explain/>
      <paraID>196241F9</paraID>
      <start>2</start>
      <end>7</end>
      <status>unmodified</status>
      <modifiedWord/>
      <trackRevisions>false</trackRevisions>
    </reviewItem>
    <reviewItem>
      <errorID>d957dee2-35cb-448e-acb9-b35ed1e2d6e5</errorID>
      <errorWord> </errorWord>
      <group>L1_AI</group>
      <groupName>深度校对</groupName>
      <ability>L2_AI_Punc</ability>
      <abilityName>标点纠错</abilityName>
      <candidateList>
        <item/>
      </candidateList>
      <explain>此处空格冗余，建议删除。</explain>
      <paraID>4F4C6661</paraID>
      <start>19</start>
      <end>20</end>
      <status>unmodified</status>
      <modifiedWord/>
      <trackRevisions>false</trackRevisions>
    </reviewItem>
    <reviewItem>
      <errorID>e2bf46c7-65fa-4898-b961-270edfd53078</errorID>
      <errorWord>提出质疑</errorWord>
      <group>L1_Grammar</group>
      <groupName>语法问题</groupName>
      <ability>L2_Grammar</ability>
      <abilityName>语法错误</abilityName>
      <candidateList>
        <item>质疑</item>
      </candidateList>
      <explain>〈动〉提出疑问：～问难。</explain>
      <paraID>3D48809D</paraID>
      <start>0</start>
      <end>4</end>
      <status>unmodified</status>
      <modifiedWord/>
      <trackRevisions>false</trackRevisions>
    </reviewItem>
    <reviewItem>
      <errorID>5533ed77-7039-4972-b218-bca8fed30b5d</errorID>
      <errorWord>，</errorWord>
      <group>L1_Word</group>
      <groupName>字词问题</groupName>
      <ability>L2_Typo</ability>
      <abilityName>字词错误</abilityName>
      <candidateList>
        <item>，具</item>
      </candidateList>
      <explain/>
      <paraID>20AE2286</paraID>
      <start>29</start>
      <end>30</end>
      <status>unmodified</status>
      <modifiedWord/>
      <trackRevisions>false</trackRevisions>
    </reviewItem>
    <reviewItem>
      <errorID>eed326ff-580c-4bf2-80e4-581b420564c4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69B6037D</paraID>
      <start>42</start>
      <end>45</end>
      <status>unmodified</status>
      <modifiedWord/>
      <trackRevisions>false</trackRevisions>
    </reviewItem>
    <reviewItem>
      <errorID>224a1dfe-1915-4586-a9b3-772a99fd25cb</errorID>
      <errorWord>(</errorWord>
      <group>L1_Format</group>
      <groupName>格式问题</groupName>
      <ability>L2_HalfPunc</ability>
      <abilityName>全半角检查</abilityName>
      <candidateList>
        <item>（</item>
      </candidateList>
      <explain>文本全半角错误。</explain>
      <paraID>74DA73E4</paraID>
      <start>86</start>
      <end>87</end>
      <status>unmodified</status>
      <modifiedWord/>
      <trackRevisions>false</trackRevisions>
    </reviewItem>
    <reviewItem>
      <errorID>5388fb8b-8814-4066-8552-5281fc8bf189</errorID>
      <errorWord>)</errorWord>
      <group>L1_Format</group>
      <groupName>格式问题</groupName>
      <ability>L2_HalfPunc</ability>
      <abilityName>全半角检查</abilityName>
      <candidateList>
        <item>）</item>
      </candidateList>
      <explain>文本全半角错误。</explain>
      <paraID>74DA73E4</paraID>
      <start>90</start>
      <end>91</end>
      <status>unmodified</status>
      <modifiedWord/>
      <trackRevisions>false</trackRevisions>
    </reviewItem>
    <reviewItem>
      <errorID>cdf54bff-8a11-4e1c-acaa-c926659bad7b</errorID>
      <errorWord>(</errorWord>
      <group>L1_Format</group>
      <groupName>格式问题</groupName>
      <ability>L2_HalfPunc</ability>
      <abilityName>全半角检查</abilityName>
      <candidateList>
        <item>（</item>
      </candidateList>
      <explain>文本全半角错误。</explain>
      <paraID>74DA73E4</paraID>
      <start>102</start>
      <end>103</end>
      <status>unmodified</status>
      <modifiedWord/>
      <trackRevisions>false</trackRevisions>
    </reviewItem>
    <reviewItem>
      <errorID>3f4effd1-565c-43cb-a8f6-1d2dfb5baf1c</errorID>
      <errorWord>)</errorWord>
      <group>L1_Format</group>
      <groupName>格式问题</groupName>
      <ability>L2_HalfPunc</ability>
      <abilityName>全半角检查</abilityName>
      <candidateList>
        <item>）</item>
      </candidateList>
      <explain>文本全半角错误。</explain>
      <paraID>74DA73E4</paraID>
      <start>106</start>
      <end>107</end>
      <status>unmodified</status>
      <modifiedWord/>
      <trackRevisions>false</trackRevisions>
    </reviewItem>
    <reviewItem>
      <errorID>d25d1855-9da4-46b9-988b-6d32ba69b0e6</errorID>
      <errorWord>其它语言</errorWord>
      <group>L1_Word</group>
      <groupName>字词问题</groupName>
      <ability>L2_Alias</ability>
      <abilityName>也作/曾用词</abilityName>
      <candidateList>
        <item>其他语言</item>
      </candidateList>
      <explain>词汇[其它语言]为不规范表述或旧称，其规范书面表述为[其他语言]。</explain>
      <paraID>77FB3E1E</paraID>
      <start>64</start>
      <end>68</end>
      <status>unmodified</status>
      <modifiedWord/>
      <trackRevisions>false</trackRevisions>
    </reviewItem>
    <reviewItem>
      <errorID>0a338f21-386e-4d24-8091-364dd2e41cc2</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166E3CBC</paraID>
      <start>34</start>
      <end>35</end>
      <status>modified</status>
      <modifiedWord>已</modifiedWord>
      <trackRevisions>false</trackRevisions>
    </reviewItem>
    <reviewItem>
      <errorID>ccb648ab-9197-4f99-8f66-fd9cf8f7ac2f</errorID>
      <errorWord>二轮</errorWord>
      <group>L1_Word</group>
      <groupName>字词问题</groupName>
      <ability>L2_Typo</ability>
      <abilityName>字词错误</abilityName>
      <candidateList>
        <item>两轮</item>
      </candidateList>
      <explain/>
      <paraID>7ADB9075</paraID>
      <start>14</start>
      <end>16</end>
      <status>unmodified</status>
      <modifiedWord/>
      <trackRevisions>false</trackRevisions>
    </reviewItem>
    <reviewItem>
      <errorID>ab0c2e4e-d879-40f2-a642-91c44906a3ea</errorID>
      <errorWord>下</errorWord>
      <group>L1_Word</group>
      <groupName>字词问题</groupName>
      <ability>L2_Typo</ability>
      <abilityName>字词错误</abilityName>
      <candidateList>
        <item>下一</item>
      </candidateList>
      <explain/>
      <paraID>4F425D8C</paraID>
      <start>30</start>
      <end>31</end>
      <status>unmodified</status>
      <modifiedWord/>
      <trackRevisions>false</trackRevisions>
    </reviewItem>
    <reviewItem>
      <errorID>9caec57d-cb92-4bd1-a4e1-39770d418755</errorID>
      <errorWord>将</errorWord>
      <group>L1_Word</group>
      <groupName>字词问题</groupName>
      <ability>L2_Typo</ability>
      <abilityName>字词错误</abilityName>
      <candidateList>
        <item>将在</item>
      </candidateList>
      <explain/>
      <paraID>5FCB8A8E</paraID>
      <start>34</start>
      <end>35</end>
      <status>unmodified</status>
      <modifiedWord/>
      <trackRevisions>false</trackRevisions>
    </reviewItem>
    <reviewItem>
      <errorID>38a5309d-e589-40fa-a769-5d8955ee8d20</errorID>
      <errorWord>接收</errorWord>
      <group>L1_Word</group>
      <groupName>字词问题</groupName>
      <ability>L2_Typo</ability>
      <abilityName>字词错误</abilityName>
      <candidateList>
        <item>接受</item>
      </candidateList>
      <explain>存在发音相同字词的误用。</explain>
      <paraID>15AF70EA</paraID>
      <start>10</start>
      <end>12</end>
      <status>unmodified</status>
      <modifiedWord/>
      <trackRevisions>false</trackRevisions>
    </reviewItem>
    <reviewItem>
      <errorID>4f13a51d-6c25-4408-b34e-6308830fab72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CC52681</paraID>
      <start>53</start>
      <end>56</end>
      <status>unmodified</status>
      <modifiedWord/>
      <trackRevisions>false</trackRevisions>
    </reviewItem>
    <reviewItem>
      <errorID>c943ae55-0f05-4c8d-b06e-87ae0793364d</errorID>
      <errorWord>提出质疑</errorWord>
      <group>L1_Grammar</group>
      <groupName>语法问题</groupName>
      <ability>L2_Grammar</ability>
      <abilityName>语法错误</abilityName>
      <candidateList>
        <item>质疑</item>
      </candidateList>
      <explain>〈动〉提出疑问：～问难。</explain>
      <paraID>11F9ACDC</paraID>
      <start>62</start>
      <end>66</end>
      <status>unmodified</status>
      <modifiedWord/>
      <trackRevisions>false</trackRevisions>
    </reviewItem>
    <reviewItem>
      <errorID>9d1b877e-887c-401f-8d68-5e1e4c0b736f</errorID>
      <errorWord>合同法</errorWord>
      <group>L1_Knowledge</group>
      <groupName>知识性问题</groupName>
      <ability>L2_Knowledge</ability>
      <abilityName>其他知识</abilityName>
      <candidateList/>
      <explain>已废止</explain>
      <paraID>4009E03D</paraID>
      <start>17</start>
      <end>20</end>
      <status>unmodified</status>
      <modifiedWord/>
      <trackRevisions>false</trackRevisions>
    </reviewItem>
    <reviewItem>
      <errorID>99703011-6b47-49b2-bf60-ca2ca7cb7e82</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5627231F</paraID>
      <start>24</start>
      <end>34</end>
      <status>unmodified</status>
      <modifiedWord/>
      <trackRevisions>false</trackRevisions>
    </reviewItem>
    <reviewItem>
      <errorID>db3a0825-aa84-44e4-8f57-c8e2c87e7117</errorID>
      <errorWord>法律、法规</errorWord>
      <group>L1_Word</group>
      <groupName>字词问题</groupName>
      <ability>L2_Typo</ability>
      <abilityName>字词错误</abilityName>
      <candidateList>
        <item>法律法规</item>
      </candidateList>
      <explain/>
      <paraID>6FB02A5C</paraID>
      <start>16</start>
      <end>21</end>
      <status>unmodified</status>
      <modifiedWord/>
      <trackRevisions>false</trackRevisions>
    </reviewItem>
    <reviewItem>
      <errorID>64fec390-676c-42fd-a816-d2d274a7eab0</errorID>
      <errorWord>法律、法规</errorWord>
      <group>L1_Word</group>
      <groupName>字词问题</groupName>
      <ability>L2_Typo</ability>
      <abilityName>字词错误</abilityName>
      <candidateList>
        <item>法律法规</item>
      </candidateList>
      <explain/>
      <paraID>70562EBD</paraID>
      <start>16</start>
      <end>21</end>
      <status>unmodified</status>
      <modifiedWord/>
      <trackRevisions>false</trackRevisions>
    </reviewItem>
    <reviewItem>
      <errorID>efc38e0a-20d3-4ad2-9569-d8aee3b332ee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4EA6CEF1</paraID>
      <start>0</start>
      <end>2</end>
      <status>unmodified</status>
      <modifiedWord/>
      <trackRevisions>false</trackRevisions>
    </reviewItem>
    <reviewItem>
      <errorID>39d6c1d3-c968-47f9-9a96-de58d95ce4d9</errorID>
      <errorWord>其它</errorWord>
      <group>L1_Word</group>
      <groupName>字词问题</groupName>
      <ability>L2_Alias</ability>
      <abilityName>也作/曾用词</abilityName>
      <candidateList>
        <item>其他</item>
      </candidateList>
      <explain>词汇[其它]为不规范表述或旧称，其规范书面表述为[其他]。</explain>
      <paraID> 5280182</paraID>
      <start>0</start>
      <end>2</end>
      <status>unmodified</status>
      <modifiedWord/>
      <trackRevisions>false</trackRevisions>
    </reviewItem>
    <reviewItem>
      <errorID>e79b82c4-0828-4da7-bdb3-6dc92f5d6e47</errorID>
      <errorWord>须</errorWord>
      <group>L1_Word</group>
      <groupName>字词问题</groupName>
      <ability>L2_Typo</ability>
      <abilityName>字词错误</abilityName>
      <candidateList>
        <item>需</item>
      </candidateList>
      <explain>存在发音相同字词的误用。</explain>
      <paraID>5394F585</paraID>
      <start>39</start>
      <end>40</end>
      <status>unmodified</status>
      <modifiedWord/>
      <trackRevisions>false</trackRevisions>
    </reviewItem>
    <reviewItem>
      <errorID>d1d48716-9358-4944-9ca1-ec88d150257b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7AC90E52</paraID>
      <start>0</start>
      <end>2</end>
      <status>unmodified</status>
      <modifiedWord/>
      <trackRevisions>false</trackRevisions>
    </reviewItem>
    <reviewItem>
      <errorID>1ab6f67d-0470-441c-a298-c1d96e22f804</errorID>
      <errorWord>(</errorWord>
      <group>L1_Format</group>
      <groupName>格式问题</groupName>
      <ability>L2_HalfPunc</ability>
      <abilityName>全半角检查</abilityName>
      <candidateList>
        <item>（</item>
      </candidateList>
      <explain>文本全半角错误。</explain>
      <paraID>7AC90E52</paraID>
      <start>15</start>
      <end>16</end>
      <status>unmodified</status>
      <modifiedWord/>
      <trackRevisions>false</trackRevisions>
    </reviewItem>
    <reviewItem>
      <errorID>377f04b0-bd44-4e94-9e82-cb6a51339fb8</errorID>
      <errorWord>)</errorWord>
      <group>L1_Format</group>
      <groupName>格式问题</groupName>
      <ability>L2_HalfPunc</ability>
      <abilityName>全半角检查</abilityName>
      <candidateList>
        <item>）</item>
      </candidateList>
      <explain>文本全半角错误。</explain>
      <paraID>7AC90E52</paraID>
      <start>20</start>
      <end>21</end>
      <status>unmodified</status>
      <modifiedWord/>
      <trackRevisions>false</trackRevisions>
    </reviewItem>
    <reviewItem>
      <errorID>3e90d909-9d13-414c-93c1-dc94e45057e1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106DA31E</paraID>
      <start>0</start>
      <end>2</end>
      <status>unmodified</status>
      <modifiedWord/>
      <trackRevisions>false</trackRevisions>
    </reviewItem>
    <reviewItem>
      <errorID>69dd34c3-4048-4f29-9fe9-9915ef155328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129DAD5B</paraID>
      <start>0</start>
      <end>2</end>
      <status>unmodified</status>
      <modifiedWord/>
      <trackRevisions>false</trackRevisions>
    </reviewItem>
    <reviewItem>
      <errorID>918def4a-5e1b-4ce4-a883-f6d20c73bf8a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27E6589B</paraID>
      <start>0</start>
      <end>2</end>
      <status>unmodified</status>
      <modifiedWord/>
      <trackRevisions>false</trackRevisions>
    </reviewItem>
    <reviewItem>
      <errorID>30dcc28b-e573-4c3a-bc6f-6ea147329fc5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D917E0B</paraID>
      <start>0</start>
      <end>2</end>
      <status>unmodified</status>
      <modifiedWord/>
      <trackRevisions>false</trackRevisions>
    </reviewItem>
    <reviewItem>
      <errorID>c9637568-a100-4cb6-9d9a-84f823334660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65A04881</paraID>
      <start>0</start>
      <end>2</end>
      <status>unmodified</status>
      <modifiedWord/>
      <trackRevisions>false</trackRevisions>
    </reviewItem>
    <reviewItem>
      <errorID>69bb7eef-7019-4406-a013-e6f8aba8324f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5E358EC6</paraID>
      <start>0</start>
      <end>2</end>
      <status>unmodified</status>
      <modifiedWord/>
      <trackRevisions>false</trackRevisions>
    </reviewItem>
    <reviewItem>
      <errorID>8274cfc1-8f2a-4f05-9b4f-55836b9932b2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2E846405</paraID>
      <start>0</start>
      <end>2</end>
      <status>unmodified</status>
      <modifiedWord/>
      <trackRevisions>false</trackRevisions>
    </reviewItem>
    <reviewItem>
      <errorID>10571b07-78e1-4836-a9de-fa44ee16d6c5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7FF8A5A6</paraID>
      <start>0</start>
      <end>2</end>
      <status>unmodified</status>
      <modifiedWord/>
      <trackRevisions>false</trackRevisions>
    </reviewItem>
    <reviewItem>
      <errorID>aa265f83-e636-4a14-910b-da173af051cc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B1011B4</paraID>
      <start>0</start>
      <end>2</end>
      <status>unmodified</status>
      <modifiedWord/>
      <trackRevisions>false</trackRevisions>
    </reviewItem>
    <reviewItem>
      <errorID>cd76040b-918d-4c06-af82-a96f24e00979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3E7B2A9C</paraID>
      <start>0</start>
      <end>2</end>
      <status>unmodified</status>
      <modifiedWord/>
      <trackRevisions>false</trackRevisions>
    </reviewItem>
    <reviewItem>
      <errorID>2b9e5cdb-601f-4f4f-8d09-8db07a52bcfb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6FC3D2B6</paraID>
      <start>0</start>
      <end>2</end>
      <status>unmodified</status>
      <modifiedWord/>
      <trackRevisions>false</trackRevisions>
    </reviewItem>
    <reviewItem>
      <errorID>cb1041a4-b8af-4a68-a236-dd8ac8ad294a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3C942957</paraID>
      <start>0</start>
      <end>2</end>
      <status>unmodified</status>
      <modifiedWord/>
      <trackRevisions>false</trackRevisions>
    </reviewItem>
    <reviewItem>
      <errorID>bfe4e2d9-d3cd-4b12-9a89-f7d1f88f5276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144FF6E9</paraID>
      <start>0</start>
      <end>2</end>
      <status>unmodified</status>
      <modifiedWord/>
      <trackRevisions>false</trackRevisions>
    </reviewItem>
    <reviewItem>
      <errorID>66e1cc29-2966-4b76-9f30-1dd290e39d66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5CF42EE5</paraID>
      <start>0</start>
      <end>2</end>
      <status>unmodified</status>
      <modifiedWord/>
      <trackRevisions>false</trackRevisions>
    </reviewItem>
    <reviewItem>
      <errorID>69ee278e-b8a8-4afd-9c02-2a6a99df25b6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5799F2C6</paraID>
      <start>0</start>
      <end>2</end>
      <status>unmodified</status>
      <modifiedWord/>
      <trackRevisions>false</trackRevisions>
    </reviewItem>
    <reviewItem>
      <errorID>9eedd547-f763-4410-9ecb-39517c12afd6</errorID>
      <errorWord>:</errorWord>
      <group>L1_Format</group>
      <groupName>格式问题</groupName>
      <ability>L2_HalfPunc</ability>
      <abilityName>全半角检查</abilityName>
      <candidateList>
        <item>：</item>
      </candidateList>
      <explain>文本全半角错误。</explain>
      <paraID> 5694D6F</paraID>
      <start>34</start>
      <end>35</end>
      <status>unmodified</status>
      <modifiedWord/>
      <trackRevisions>false</trackRevisions>
    </reviewItem>
    <reviewItem>
      <errorID>f849df05-ceb3-4088-9855-3381749330f5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43960C45</paraID>
      <start>0</start>
      <end>2</end>
      <status>unmodified</status>
      <modifiedWord/>
      <trackRevisions>false</trackRevisions>
    </reviewItem>
    <reviewItem>
      <errorID>a35fd171-f91f-4f06-b64e-3e9a88dc1d1e</errorID>
      <errorWord>;</errorWord>
      <group>L1_Format</group>
      <groupName>格式问题</groupName>
      <ability>L2_HalfPunc</ability>
      <abilityName>全半角检查</abilityName>
      <candidateList>
        <item>；</item>
      </candidateList>
      <explain>文本全半角错误。</explain>
      <paraID>43960C45</paraID>
      <start>73</start>
      <end>74</end>
      <status>unmodified</status>
      <modifiedWord/>
      <trackRevisions>false</trackRevisions>
    </reviewItem>
    <reviewItem>
      <errorID>fdd0b2ff-0915-434f-8b26-704c10ec66b0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11193CD7</paraID>
      <start>0</start>
      <end>2</end>
      <status>unmodified</status>
      <modifiedWord/>
      <trackRevisions>false</trackRevisions>
    </reviewItem>
    <reviewItem>
      <errorID>81a2bc18-b17f-4da0-a3b0-e553b791b4dc</errorID>
      <errorWord>;</errorWord>
      <group>L1_Format</group>
      <groupName>格式问题</groupName>
      <ability>L2_HalfPunc</ability>
      <abilityName>全半角检查</abilityName>
      <candidateList>
        <item>；</item>
      </candidateList>
      <explain>文本全半角错误。</explain>
      <paraID>11193CD7</paraID>
      <start>87</start>
      <end>88</end>
      <status>unmodified</status>
      <modifiedWord/>
      <trackRevisions>false</trackRevisions>
    </reviewItem>
    <reviewItem>
      <errorID>ccdd7b25-7ad2-4c0b-a1c9-27b754c4ed3f</errorID>
      <errorWord>;</errorWord>
      <group>L1_Format</group>
      <groupName>格式问题</groupName>
      <ability>L2_HalfPunc</ability>
      <abilityName>全半角检查</abilityName>
      <candidateList>
        <item>；</item>
      </candidateList>
      <explain>文本全半角错误。</explain>
      <paraID>11193CD7</paraID>
      <start>181</start>
      <end>182</end>
      <status>unmodified</status>
      <modifiedWord/>
      <trackRevisions>false</trackRevisions>
    </reviewItem>
    <reviewItem>
      <errorID>88a0362a-68ab-4765-8c93-285d129a258d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3312F3C9</paraID>
      <start>0</start>
      <end>2</end>
      <status>unmodified</status>
      <modifiedWord/>
      <trackRevisions>false</trackRevisions>
    </reviewItem>
    <reviewItem>
      <errorID>d5a178eb-8876-474e-b508-6d6c81c97f4b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559ABF2E</paraID>
      <start>13</start>
      <end>16</end>
      <status>unmodified</status>
      <modifiedWord/>
      <trackRevisions>false</trackRevisions>
    </reviewItem>
    <reviewItem>
      <errorID>3353ef16-2b86-4b63-b8db-846d0a1881e3</errorID>
      <errorWord>日</errorWord>
      <group>L1_Word</group>
      <groupName>字词问题</groupName>
      <ability>L2_Typo</ability>
      <abilityName>字词错误</abilityName>
      <candidateList>
        <item>日内</item>
      </candidateList>
      <explain/>
      <paraID>7AF1A81A</paraID>
      <start>57</start>
      <end>59</end>
      <status>modified</status>
      <modifiedWord>日内</modifiedWord>
      <trackRevisions>false</trackRevisions>
    </reviewItem>
    <reviewItem>
      <errorID>0d276496-3f5f-4d01-afcf-113f44a8fd35</errorID>
      <errorWord>(</errorWord>
      <group>L1_Format</group>
      <groupName>格式问题</groupName>
      <ability>L2_HalfPunc</ability>
      <abilityName>全半角检查</abilityName>
      <candidateList>
        <item>（</item>
      </candidateList>
      <explain>文本全半角错误。</explain>
      <paraID>25D53D5F</paraID>
      <start>31</start>
      <end>32</end>
      <status>unmodified</status>
      <modifiedWord/>
      <trackRevisions>false</trackRevisions>
    </reviewItem>
    <reviewItem>
      <errorID>bd01546d-28d4-4047-b7b9-5def6f9bd4a2</errorID>
      <errorWord>)</errorWord>
      <group>L1_Format</group>
      <groupName>格式问题</groupName>
      <ability>L2_HalfPunc</ability>
      <abilityName>全半角检查</abilityName>
      <candidateList>
        <item>）</item>
      </candidateList>
      <explain>文本全半角错误。</explain>
      <paraID>25D53D5F</paraID>
      <start>37</start>
      <end>38</end>
      <status>unmodified</status>
      <modifiedWord/>
      <trackRevisions>false</trackRevisions>
    </reviewItem>
    <reviewItem>
      <errorID>5ceb89b8-6351-42ad-a531-a3a1a2eed2db</errorID>
      <errorWord>(</errorWord>
      <group>L1_Format</group>
      <groupName>格式问题</groupName>
      <ability>L2_HalfPunc</ability>
      <abilityName>全半角检查</abilityName>
      <candidateList>
        <item>（</item>
      </candidateList>
      <explain>文本全半角错误。</explain>
      <paraID>25D53D5F</paraID>
      <start>47</start>
      <end>48</end>
      <status>unmodified</status>
      <modifiedWord/>
      <trackRevisions>false</trackRevisions>
    </reviewItem>
    <reviewItem>
      <errorID>b3bf1520-897c-49cb-8832-55ebd1e60d74</errorID>
      <errorWord>)</errorWord>
      <group>L1_Format</group>
      <groupName>格式问题</groupName>
      <ability>L2_HalfPunc</ability>
      <abilityName>全半角检查</abilityName>
      <candidateList>
        <item>）</item>
      </candidateList>
      <explain>文本全半角错误。</explain>
      <paraID>25D53D5F</paraID>
      <start>57</start>
      <end>58</end>
      <status>unmodified</status>
      <modifiedWord/>
      <trackRevisions>false</trackRevisions>
    </reviewItem>
    <reviewItem>
      <errorID>267961ba-0441-41b5-9268-240640e4d714</errorID>
      <errorWord>(</errorWord>
      <group>L1_Format</group>
      <groupName>格式问题</groupName>
      <ability>L2_HalfPunc</ability>
      <abilityName>全半角检查</abilityName>
      <candidateList>
        <item>（</item>
      </candidateList>
      <explain>文本全半角错误。</explain>
      <paraID> D2A9E05</paraID>
      <start>11</start>
      <end>12</end>
      <status>unmodified</status>
      <modifiedWord/>
      <trackRevisions>false</trackRevisions>
    </reviewItem>
    <reviewItem>
      <errorID>ae0be882-fb88-4c7d-94ec-2869274091eb</errorID>
      <errorWord>)</errorWord>
      <group>L1_Format</group>
      <groupName>格式问题</groupName>
      <ability>L2_HalfPunc</ability>
      <abilityName>全半角检查</abilityName>
      <candidateList>
        <item>）</item>
      </candidateList>
      <explain>文本全半角错误。</explain>
      <paraID> D2A9E05</paraID>
      <start>22</start>
      <end>23</end>
      <status>unmodified</status>
      <modifiedWord/>
      <trackRevisions>false</trackRevisions>
    </reviewItem>
    <reviewItem>
      <errorID>351b7a7f-90d4-4677-95f1-cc212bc96499</errorID>
      <errorWord>(</errorWord>
      <group>L1_Format</group>
      <groupName>格式问题</groupName>
      <ability>L2_HalfPunc</ability>
      <abilityName>全半角检查</abilityName>
      <candidateList>
        <item>（</item>
      </candidateList>
      <explain>文本全半角错误。</explain>
      <paraID>203451F1</paraID>
      <start>11</start>
      <end>12</end>
      <status>unmodified</status>
      <modifiedWord/>
      <trackRevisions>false</trackRevisions>
    </reviewItem>
    <reviewItem>
      <errorID>18038ab0-074d-4aed-8657-5a9cb24c5351</errorID>
      <errorWord>)</errorWord>
      <group>L1_Format</group>
      <groupName>格式问题</groupName>
      <ability>L2_HalfPunc</ability>
      <abilityName>全半角检查</abilityName>
      <candidateList>
        <item>）</item>
      </candidateList>
      <explain>文本全半角错误。</explain>
      <paraID>203451F1</paraID>
      <start>17</start>
      <end>18</end>
      <status>unmodified</status>
      <modifiedWord/>
      <trackRevisions>false</trackRevisions>
    </reviewItem>
    <reviewItem>
      <errorID>f19824fc-7df6-4226-9adf-5c54224e9456</errorID>
      <errorWord>(</errorWord>
      <group>L1_Format</group>
      <groupName>格式问题</groupName>
      <ability>L2_HalfPunc</ability>
      <abilityName>全半角检查</abilityName>
      <candidateList>
        <item>（</item>
      </candidateList>
      <explain>文本全半角错误。</explain>
      <paraID>688B2A80</paraID>
      <start>11</start>
      <end>12</end>
      <status>unmodified</status>
      <modifiedWord/>
      <trackRevisions>false</trackRevisions>
    </reviewItem>
    <reviewItem>
      <errorID>9f6f7b68-1788-4fed-b409-72174e134bc0</errorID>
      <errorWord>)</errorWord>
      <group>L1_Format</group>
      <groupName>格式问题</groupName>
      <ability>L2_HalfPunc</ability>
      <abilityName>全半角检查</abilityName>
      <candidateList>
        <item>）</item>
      </candidateList>
      <explain>文本全半角错误。</explain>
      <paraID>688B2A80</paraID>
      <start>17</start>
      <end>18</end>
      <status>unmodified</status>
      <modifiedWord/>
      <trackRevisions>false</trackRevisions>
    </reviewItem>
    <reviewItem>
      <errorID>36392cc7-e3b1-4f34-a9eb-f0c752e3cb5b</errorID>
      <errorWord>(</errorWord>
      <group>L1_Format</group>
      <groupName>格式问题</groupName>
      <ability>L2_HalfPunc</ability>
      <abilityName>全半角检查</abilityName>
      <candidateList>
        <item>（</item>
      </candidateList>
      <explain>文本全半角错误。</explain>
      <paraID>62DA6486</paraID>
      <start>11</start>
      <end>12</end>
      <status>unmodified</status>
      <modifiedWord/>
      <trackRevisions>false</trackRevisions>
    </reviewItem>
    <reviewItem>
      <errorID>9a53b8e6-22ab-4d20-b630-c85e2e907ce5</errorID>
      <errorWord>)</errorWord>
      <group>L1_Format</group>
      <groupName>格式问题</groupName>
      <ability>L2_HalfPunc</ability>
      <abilityName>全半角检查</abilityName>
      <candidateList>
        <item>）</item>
      </candidateList>
      <explain>文本全半角错误。</explain>
      <paraID>62DA6486</paraID>
      <start>17</start>
      <end>18</end>
      <status>unmodified</status>
      <modifiedWord/>
      <trackRevisions>false</trackRevisions>
    </reviewItem>
    <reviewItem>
      <errorID>a01f5b2a-c4b4-4586-870b-4132774d8121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3F41541C</paraID>
      <start>0</start>
      <end>2</end>
      <status>unmodified</status>
      <modifiedWord/>
      <trackRevisions>false</trackRevisions>
    </reviewItem>
    <reviewItem>
      <errorID>f1479073-b6f6-4fef-bc98-016b2b141272</errorID>
      <errorWord>不须与</errorWord>
      <group>L1_Word</group>
      <groupName>字词问题</groupName>
      <ability>L2_Typo</ability>
      <abilityName>字词错误</abilityName>
      <candidateList>
        <item>不需与</item>
      </candidateList>
      <explain/>
      <paraID>3F41541C</paraID>
      <start>5</start>
      <end>8</end>
      <status>unmodified</status>
      <modifiedWord/>
      <trackRevisions>false</trackRevisions>
    </reviewItem>
    <reviewItem>
      <errorID>f287dd22-fada-429f-be81-e4fd540b22e1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6E2D6B4F</paraID>
      <start>6</start>
      <end>8</end>
      <status>unmodified</status>
      <modifiedWord/>
      <trackRevisions>false</trackRevisions>
    </reviewItem>
    <reviewItem>
      <errorID>682d3366-10fb-4645-a6f3-b0cf2de3cac8</errorID>
      <errorWord>,</errorWord>
      <group>L1_Format</group>
      <groupName>格式问题</groupName>
      <ability>L2_HalfPunc</ability>
      <abilityName>全半角检查</abilityName>
      <candidateList>
        <item>，</item>
      </candidateList>
      <explain>文本全半角错误。</explain>
      <paraID>148EFC2F</paraID>
      <start>26</start>
      <end>27</end>
      <status>unmodified</status>
      <modifiedWord/>
      <trackRevisions>false</trackRevisions>
    </reviewItem>
    <reviewItem>
      <errorID>aa3f8854-88d6-4750-b0d8-b801f115f9c6</errorID>
      <errorWord>(</errorWord>
      <group>L1_Format</group>
      <groupName>格式问题</groupName>
      <ability>L2_HalfPunc</ability>
      <abilityName>全半角检查</abilityName>
      <candidateList>
        <item>（</item>
      </candidateList>
      <explain>文本全半角错误。</explain>
      <paraID>7BA74A2D</paraID>
      <start>11</start>
      <end>12</end>
      <status>unmodified</status>
      <modifiedWord/>
      <trackRevisions>false</trackRevisions>
    </reviewItem>
    <reviewItem>
      <errorID>8049ba7d-ee4e-48ed-995c-fc420b650588</errorID>
      <errorWord>)</errorWord>
      <group>L1_Format</group>
      <groupName>格式问题</groupName>
      <ability>L2_HalfPunc</ability>
      <abilityName>全半角检查</abilityName>
      <candidateList>
        <item>）</item>
      </candidateList>
      <explain>文本全半角错误。</explain>
      <paraID>7BA74A2D</paraID>
      <start>17</start>
      <end>18</end>
      <status>unmodified</status>
      <modifiedWord/>
      <trackRevisions>false</trackRevisions>
    </reviewItem>
    <reviewItem>
      <errorID>a194f786-6d42-40ab-b780-539d039d5769</errorID>
      <errorWord>程</errorWord>
      <group>L1_Word</group>
      <groupName>字词问题</groupName>
      <ability>L2_Typo</ability>
      <abilityName>字词错误</abilityName>
      <candidateList>
        <item>程中</item>
      </candidateList>
      <explain/>
      <paraID>42C63C11</paraID>
      <start>70</start>
      <end>71</end>
      <status>unmodified</status>
      <modifiedWord/>
      <trackRevisions>false</trackRevisions>
    </reviewItem>
    <reviewItem>
      <errorID>ee2de9b4-98a7-41fa-8866-ded093a980da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6DBDB32D</paraID>
      <start>0</start>
      <end>2</end>
      <status>unmodified</status>
      <modifiedWord/>
      <trackRevisions>false</trackRevisions>
    </reviewItem>
    <reviewItem>
      <errorID>3da5ac4e-e220-4397-a9ef-f2533d362008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73DCC6AA</paraID>
      <start>51</start>
      <end>54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a0e9e3-f08e-42d6-a434-51ac7fe86fe0}">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46</Pages>
  <Words>13134</Words>
  <Characters>13851</Characters>
  <Lines>890</Lines>
  <Paragraphs>895</Paragraphs>
  <TotalTime>1</TotalTime>
  <ScaleCrop>false</ScaleCrop>
  <LinksUpToDate>false</LinksUpToDate>
  <CharactersWithSpaces>14146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2026-02-01T11:18:00Z</dcterms:created>
  <dc:creator>雨林木风</dc:creator>
  <cp:lastModifiedBy>MiManchi</cp:lastModifiedBy>
  <cp:lastPrinted>2021-08-25T02:26:00Z</cp:lastPrinted>
  <dcterms:modified xsi:type="dcterms:W3CDTF">2026-04-29T08:16:25Z</dcterms:modified>
  <dc:title>池州市市直机关正版软件采购项目采购项目</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C50E19D5685E4719A1A5F96A03E84CCD_13</vt:lpwstr>
  </property>
  <property fmtid="{D5CDD505-2E9C-101B-9397-08002B2CF9AE}" pid="4" name="KSOTemplateDocerSaveRecord">
    <vt:lpwstr>eyJoZGlkIjoiYWEyOWQzOTIzZjdmZDAzMzM2MDJkZjQ1YzVjMDFmMGUiLCJ1c2VySWQiOiI2NzAyMzg2NjMifQ==</vt:lpwstr>
  </property>
</Properties>
</file>